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59" w:lineRule="auto"/>
        <w:ind w:left="1701" w:right="738" w:firstLine="0"/>
        <w:rPr>
          <w:rFonts w:ascii="Arial" w:hAnsi="Arial" w:cs="Arial"/>
          <w:b/>
          <w:szCs w:val="28"/>
        </w:rPr>
      </w:pPr>
      <w:r>
        <w:rPr>
          <w:noProof/>
          <w:sz w:val="22"/>
        </w:rPr>
        <w:drawing>
          <wp:anchor distT="0" distB="0" distL="114300" distR="114300" simplePos="0" relativeHeight="251662336" behindDoc="0" locked="0" layoutInCell="1" allowOverlap="1">
            <wp:simplePos x="0" y="0"/>
            <wp:positionH relativeFrom="margin">
              <wp:align>left</wp:align>
            </wp:positionH>
            <wp:positionV relativeFrom="margin">
              <wp:align>top</wp:align>
            </wp:positionV>
            <wp:extent cx="840872" cy="704850"/>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840872"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szCs w:val="28"/>
        </w:rPr>
        <w:t>Liefervereinbarung</w:t>
      </w:r>
    </w:p>
    <w:p>
      <w:pPr>
        <w:ind w:left="1843" w:hanging="142"/>
        <w:rPr>
          <w:rFonts w:ascii="Arial" w:hAnsi="Arial" w:cs="Arial"/>
          <w:b/>
          <w:szCs w:val="28"/>
        </w:rPr>
      </w:pPr>
      <w:r>
        <w:rPr>
          <w:rFonts w:ascii="Arial" w:hAnsi="Arial" w:cs="Arial"/>
          <w:b/>
          <w:szCs w:val="28"/>
        </w:rPr>
        <w:t xml:space="preserve">zwischen dem Träger von Bildungseinrichtungen </w:t>
      </w:r>
    </w:p>
    <w:p>
      <w:pPr>
        <w:ind w:left="1701" w:firstLine="0"/>
        <w:rPr>
          <w:rFonts w:ascii="Arial" w:hAnsi="Arial" w:cs="Arial"/>
          <w:b/>
          <w:szCs w:val="28"/>
        </w:rPr>
      </w:pPr>
      <w:r>
        <w:rPr>
          <w:rFonts w:ascii="Arial" w:hAnsi="Arial" w:cs="Arial"/>
          <w:b/>
          <w:szCs w:val="28"/>
        </w:rPr>
        <w:t>und dem Schulmilchlieferanten</w:t>
      </w:r>
    </w:p>
    <w:p>
      <w:pPr>
        <w:ind w:left="713" w:firstLine="988"/>
        <w:rPr>
          <w:rFonts w:ascii="Arial" w:hAnsi="Arial" w:cs="Arial"/>
          <w:b/>
          <w:sz w:val="28"/>
          <w:szCs w:val="28"/>
        </w:rPr>
      </w:pPr>
      <w:r>
        <w:rPr>
          <w:rFonts w:ascii="Arial" w:hAnsi="Arial" w:cs="Arial"/>
          <w:b/>
          <w:szCs w:val="28"/>
        </w:rPr>
        <w:t xml:space="preserve">für das Schuljahr </w:t>
      </w:r>
      <w:r>
        <w:rPr>
          <w:rFonts w:ascii="Arial" w:hAnsi="Arial" w:cs="Arial"/>
          <w:b/>
          <w:color w:val="auto"/>
          <w:szCs w:val="28"/>
        </w:rPr>
        <w:t>2025/2026</w:t>
      </w:r>
    </w:p>
    <w:p>
      <w:pPr>
        <w:rPr>
          <w:rFonts w:ascii="Arial" w:hAnsi="Arial" w:cs="Arial"/>
          <w:b/>
          <w:szCs w:val="24"/>
        </w:rPr>
      </w:pPr>
    </w:p>
    <w:p>
      <w:pPr>
        <w:rPr>
          <w:rFonts w:ascii="Arial" w:hAnsi="Arial" w:cs="Arial"/>
          <w:b/>
          <w:szCs w:val="24"/>
        </w:rPr>
      </w:pPr>
    </w:p>
    <w:tbl>
      <w:tblPr>
        <w:tblStyle w:val="Tabellenraster"/>
        <w:tblW w:w="0" w:type="auto"/>
        <w:tblInd w:w="5" w:type="dxa"/>
        <w:tblLook w:val="04A0" w:firstRow="1" w:lastRow="0" w:firstColumn="1" w:lastColumn="0" w:noHBand="0" w:noVBand="1"/>
      </w:tblPr>
      <w:tblGrid>
        <w:gridCol w:w="1975"/>
        <w:gridCol w:w="7082"/>
      </w:tblGrid>
      <w:tr>
        <w:tc>
          <w:tcPr>
            <w:tcW w:w="1975" w:type="dxa"/>
            <w:tcBorders>
              <w:bottom w:val="single" w:sz="4" w:space="0" w:color="auto"/>
              <w:right w:val="single" w:sz="4" w:space="0" w:color="auto"/>
            </w:tcBorders>
          </w:tcPr>
          <w:p>
            <w:pPr>
              <w:rPr>
                <w:rFonts w:ascii="Arial" w:hAnsi="Arial" w:cs="Arial"/>
                <w:b/>
                <w:szCs w:val="24"/>
              </w:rPr>
            </w:pPr>
          </w:p>
          <w:p>
            <w:pPr>
              <w:ind w:left="0" w:firstLine="0"/>
              <w:jc w:val="left"/>
              <w:rPr>
                <w:rFonts w:ascii="Arial" w:hAnsi="Arial" w:cs="Arial"/>
                <w:b/>
                <w:i/>
                <w:sz w:val="28"/>
                <w:szCs w:val="24"/>
              </w:rPr>
            </w:pPr>
            <w:r>
              <w:rPr>
                <w:rFonts w:ascii="Arial" w:hAnsi="Arial" w:cs="Arial"/>
                <w:b/>
                <w:sz w:val="22"/>
                <w:szCs w:val="24"/>
              </w:rPr>
              <w:t xml:space="preserve">Lieferant:                                </w:t>
            </w:r>
          </w:p>
        </w:tc>
        <w:tc>
          <w:tcPr>
            <w:tcW w:w="7082" w:type="dxa"/>
            <w:tcBorders>
              <w:left w:val="single" w:sz="4" w:space="0" w:color="auto"/>
              <w:bottom w:val="single" w:sz="4" w:space="0" w:color="auto"/>
            </w:tcBorders>
          </w:tcPr>
          <w:p>
            <w:pPr>
              <w:ind w:left="0" w:firstLine="0"/>
              <w:rPr>
                <w:rFonts w:ascii="Arial" w:hAnsi="Arial" w:cs="Arial"/>
                <w:b/>
                <w:sz w:val="20"/>
                <w:szCs w:val="24"/>
              </w:rPr>
            </w:pPr>
          </w:p>
          <w:p>
            <w:pPr>
              <w:ind w:left="0" w:firstLine="0"/>
              <w:rPr>
                <w:rFonts w:ascii="Arial" w:hAnsi="Arial" w:cs="Arial"/>
                <w:b/>
                <w:sz w:val="20"/>
                <w:szCs w:val="24"/>
              </w:rPr>
            </w:pPr>
            <w:r>
              <w:rPr>
                <w:rFonts w:ascii="Arial" w:hAnsi="Arial" w:cs="Arial"/>
                <w:b/>
                <w:sz w:val="20"/>
                <w:szCs w:val="24"/>
              </w:rPr>
              <w:fldChar w:fldCharType="begin">
                <w:ffData>
                  <w:name w:val="Text1"/>
                  <w:enabled/>
                  <w:calcOnExit w:val="0"/>
                  <w:textInput/>
                </w:ffData>
              </w:fldChar>
            </w:r>
            <w:bookmarkStart w:id="0" w:name="Text1"/>
            <w:r>
              <w:rPr>
                <w:rFonts w:ascii="Arial" w:hAnsi="Arial" w:cs="Arial"/>
                <w:b/>
                <w:sz w:val="20"/>
                <w:szCs w:val="24"/>
              </w:rPr>
              <w:instrText xml:space="preserve"> FORMTEXT </w:instrText>
            </w:r>
            <w:r>
              <w:rPr>
                <w:rFonts w:ascii="Arial" w:hAnsi="Arial" w:cs="Arial"/>
                <w:b/>
                <w:sz w:val="20"/>
                <w:szCs w:val="24"/>
              </w:rPr>
            </w:r>
            <w:r>
              <w:rPr>
                <w:rFonts w:ascii="Arial" w:hAnsi="Arial" w:cs="Arial"/>
                <w:b/>
                <w:sz w:val="20"/>
                <w:szCs w:val="24"/>
              </w:rPr>
              <w:fldChar w:fldCharType="separate"/>
            </w:r>
            <w:r>
              <w:rPr>
                <w:rFonts w:ascii="Arial" w:hAnsi="Arial" w:cs="Arial"/>
                <w:b/>
                <w:noProof/>
                <w:sz w:val="20"/>
                <w:szCs w:val="24"/>
              </w:rPr>
              <w:t> </w:t>
            </w:r>
            <w:r>
              <w:rPr>
                <w:rFonts w:ascii="Arial" w:hAnsi="Arial" w:cs="Arial"/>
                <w:b/>
                <w:noProof/>
                <w:sz w:val="20"/>
                <w:szCs w:val="24"/>
              </w:rPr>
              <w:t> </w:t>
            </w:r>
            <w:r>
              <w:rPr>
                <w:rFonts w:ascii="Arial" w:hAnsi="Arial" w:cs="Arial"/>
                <w:b/>
                <w:noProof/>
                <w:sz w:val="20"/>
                <w:szCs w:val="24"/>
              </w:rPr>
              <w:t> </w:t>
            </w:r>
            <w:r>
              <w:rPr>
                <w:rFonts w:ascii="Arial" w:hAnsi="Arial" w:cs="Arial"/>
                <w:b/>
                <w:noProof/>
                <w:sz w:val="20"/>
                <w:szCs w:val="24"/>
              </w:rPr>
              <w:t> </w:t>
            </w:r>
            <w:r>
              <w:rPr>
                <w:rFonts w:ascii="Arial" w:hAnsi="Arial" w:cs="Arial"/>
                <w:b/>
                <w:noProof/>
                <w:sz w:val="20"/>
                <w:szCs w:val="24"/>
              </w:rPr>
              <w:t> </w:t>
            </w:r>
            <w:r>
              <w:rPr>
                <w:rFonts w:ascii="Arial" w:hAnsi="Arial" w:cs="Arial"/>
                <w:b/>
                <w:sz w:val="20"/>
                <w:szCs w:val="24"/>
              </w:rPr>
              <w:fldChar w:fldCharType="end"/>
            </w:r>
            <w:bookmarkEnd w:id="0"/>
          </w:p>
          <w:p>
            <w:pPr>
              <w:ind w:left="0" w:firstLine="0"/>
              <w:rPr>
                <w:rFonts w:ascii="Arial" w:hAnsi="Arial" w:cs="Arial"/>
                <w:b/>
                <w:sz w:val="20"/>
                <w:szCs w:val="24"/>
              </w:rPr>
            </w:pPr>
          </w:p>
          <w:p>
            <w:pPr>
              <w:ind w:left="0" w:firstLine="0"/>
              <w:jc w:val="left"/>
              <w:rPr>
                <w:rFonts w:ascii="Verdana" w:eastAsia="Times New Roman" w:hAnsi="Verdana" w:cs="Times New Roman"/>
                <w:i/>
                <w:szCs w:val="20"/>
              </w:rPr>
            </w:pPr>
            <w:r>
              <w:rPr>
                <w:rFonts w:ascii="Arial" w:hAnsi="Arial" w:cs="Arial"/>
                <w:sz w:val="20"/>
                <w:szCs w:val="24"/>
              </w:rPr>
              <w:t>Name / Bezeichnung  / Straße / PLZ, Ort (ggf. Stempel)</w:t>
            </w:r>
          </w:p>
        </w:tc>
      </w:tr>
      <w:tr>
        <w:tc>
          <w:tcPr>
            <w:tcW w:w="9057" w:type="dxa"/>
            <w:gridSpan w:val="2"/>
            <w:tcBorders>
              <w:left w:val="nil"/>
              <w:right w:val="nil"/>
            </w:tcBorders>
          </w:tcPr>
          <w:p>
            <w:pPr>
              <w:ind w:left="0" w:firstLine="0"/>
              <w:rPr>
                <w:rFonts w:ascii="Arial" w:hAnsi="Arial" w:cs="Arial"/>
                <w:b/>
                <w:szCs w:val="24"/>
              </w:rPr>
            </w:pPr>
          </w:p>
        </w:tc>
      </w:tr>
      <w:tr>
        <w:tc>
          <w:tcPr>
            <w:tcW w:w="1975" w:type="dxa"/>
          </w:tcPr>
          <w:p>
            <w:pPr>
              <w:rPr>
                <w:rFonts w:ascii="Arial" w:hAnsi="Arial" w:cs="Arial"/>
                <w:b/>
                <w:szCs w:val="24"/>
              </w:rPr>
            </w:pPr>
          </w:p>
          <w:p>
            <w:pPr>
              <w:rPr>
                <w:rFonts w:ascii="Arial" w:hAnsi="Arial" w:cs="Arial"/>
                <w:b/>
                <w:color w:val="auto"/>
                <w:sz w:val="22"/>
                <w:szCs w:val="24"/>
              </w:rPr>
            </w:pPr>
            <w:r>
              <w:rPr>
                <w:rFonts w:ascii="Arial" w:hAnsi="Arial" w:cs="Arial"/>
                <w:b/>
                <w:color w:val="auto"/>
                <w:sz w:val="22"/>
                <w:szCs w:val="24"/>
              </w:rPr>
              <w:t>Einrichtungs-träger:</w:t>
            </w:r>
          </w:p>
          <w:p>
            <w:pPr>
              <w:rPr>
                <w:rFonts w:ascii="Arial" w:hAnsi="Arial" w:cs="Arial"/>
                <w:b/>
                <w:szCs w:val="24"/>
              </w:rPr>
            </w:pPr>
          </w:p>
          <w:p>
            <w:pPr>
              <w:rPr>
                <w:rFonts w:ascii="Arial" w:hAnsi="Arial" w:cs="Arial"/>
                <w:b/>
                <w:szCs w:val="24"/>
              </w:rPr>
            </w:pPr>
          </w:p>
        </w:tc>
        <w:tc>
          <w:tcPr>
            <w:tcW w:w="7082" w:type="dxa"/>
          </w:tcPr>
          <w:p>
            <w:pPr>
              <w:ind w:left="0" w:firstLine="0"/>
              <w:rPr>
                <w:rFonts w:ascii="Arial" w:hAnsi="Arial" w:cs="Arial"/>
                <w:b/>
                <w:szCs w:val="24"/>
              </w:rPr>
            </w:pPr>
          </w:p>
          <w:p>
            <w:pPr>
              <w:rPr>
                <w:rFonts w:ascii="Arial" w:hAnsi="Arial" w:cs="Arial"/>
                <w:b/>
                <w:szCs w:val="24"/>
              </w:rPr>
            </w:pPr>
            <w:r>
              <w:rPr>
                <w:rFonts w:ascii="Arial" w:hAnsi="Arial" w:cs="Arial"/>
                <w:b/>
                <w:szCs w:val="24"/>
              </w:rPr>
              <w:fldChar w:fldCharType="begin">
                <w:ffData>
                  <w:name w:val="Text2"/>
                  <w:enabled/>
                  <w:calcOnExit w:val="0"/>
                  <w:textInput/>
                </w:ffData>
              </w:fldChar>
            </w:r>
            <w:bookmarkStart w:id="1" w:name="Text2"/>
            <w:r>
              <w:rPr>
                <w:rFonts w:ascii="Arial" w:hAnsi="Arial" w:cs="Arial"/>
                <w:b/>
                <w:szCs w:val="24"/>
              </w:rPr>
              <w:instrText xml:space="preserve"> FORMTEXT </w:instrText>
            </w:r>
            <w:r>
              <w:rPr>
                <w:rFonts w:ascii="Arial" w:hAnsi="Arial" w:cs="Arial"/>
                <w:b/>
                <w:szCs w:val="24"/>
              </w:rPr>
            </w:r>
            <w:r>
              <w:rPr>
                <w:rFonts w:ascii="Arial" w:hAnsi="Arial" w:cs="Arial"/>
                <w:b/>
                <w:szCs w:val="24"/>
              </w:rPr>
              <w:fldChar w:fldCharType="separate"/>
            </w:r>
            <w:r>
              <w:rPr>
                <w:rFonts w:ascii="Arial" w:hAnsi="Arial" w:cs="Arial"/>
                <w:b/>
                <w:noProof/>
                <w:szCs w:val="24"/>
              </w:rPr>
              <w:t> </w:t>
            </w:r>
            <w:r>
              <w:rPr>
                <w:rFonts w:ascii="Arial" w:hAnsi="Arial" w:cs="Arial"/>
                <w:b/>
                <w:noProof/>
                <w:szCs w:val="24"/>
              </w:rPr>
              <w:t> </w:t>
            </w:r>
            <w:r>
              <w:rPr>
                <w:rFonts w:ascii="Arial" w:hAnsi="Arial" w:cs="Arial"/>
                <w:b/>
                <w:noProof/>
                <w:szCs w:val="24"/>
              </w:rPr>
              <w:t> </w:t>
            </w:r>
            <w:r>
              <w:rPr>
                <w:rFonts w:ascii="Arial" w:hAnsi="Arial" w:cs="Arial"/>
                <w:b/>
                <w:noProof/>
                <w:szCs w:val="24"/>
              </w:rPr>
              <w:t> </w:t>
            </w:r>
            <w:r>
              <w:rPr>
                <w:rFonts w:ascii="Arial" w:hAnsi="Arial" w:cs="Arial"/>
                <w:b/>
                <w:noProof/>
                <w:szCs w:val="24"/>
              </w:rPr>
              <w:t> </w:t>
            </w:r>
            <w:r>
              <w:rPr>
                <w:rFonts w:ascii="Arial" w:hAnsi="Arial" w:cs="Arial"/>
                <w:b/>
                <w:szCs w:val="24"/>
              </w:rPr>
              <w:fldChar w:fldCharType="end"/>
            </w:r>
            <w:bookmarkEnd w:id="1"/>
          </w:p>
          <w:p>
            <w:pPr>
              <w:ind w:left="0" w:firstLine="0"/>
              <w:rPr>
                <w:rFonts w:ascii="Arial" w:hAnsi="Arial" w:cs="Arial"/>
                <w:b/>
                <w:szCs w:val="24"/>
              </w:rPr>
            </w:pPr>
          </w:p>
          <w:p>
            <w:pPr>
              <w:rPr>
                <w:rFonts w:ascii="Arial" w:hAnsi="Arial" w:cs="Arial"/>
                <w:b/>
                <w:szCs w:val="24"/>
              </w:rPr>
            </w:pPr>
          </w:p>
          <w:p>
            <w:pPr>
              <w:ind w:left="0" w:firstLine="0"/>
              <w:rPr>
                <w:rFonts w:ascii="Arial" w:hAnsi="Arial" w:cs="Arial"/>
                <w:b/>
                <w:szCs w:val="24"/>
              </w:rPr>
            </w:pPr>
            <w:r>
              <w:rPr>
                <w:rFonts w:ascii="Arial" w:hAnsi="Arial" w:cs="Arial"/>
                <w:sz w:val="20"/>
                <w:szCs w:val="24"/>
              </w:rPr>
              <w:t>Name / Bezeichnung  / Straße / PLZ, Ort (ggf. Stempel)</w:t>
            </w:r>
          </w:p>
        </w:tc>
      </w:tr>
    </w:tbl>
    <w:p>
      <w:pPr>
        <w:spacing w:after="162"/>
        <w:ind w:left="0" w:firstLine="0"/>
        <w:rPr>
          <w:rFonts w:ascii="Arial" w:hAnsi="Arial" w:cs="Arial"/>
          <w:b/>
          <w:sz w:val="22"/>
          <w:szCs w:val="24"/>
        </w:rPr>
      </w:pPr>
    </w:p>
    <w:p>
      <w:pPr>
        <w:pStyle w:val="Listenabsatz"/>
        <w:numPr>
          <w:ilvl w:val="0"/>
          <w:numId w:val="12"/>
        </w:numPr>
        <w:spacing w:after="162"/>
        <w:rPr>
          <w:rFonts w:ascii="Arial" w:hAnsi="Arial" w:cs="Arial"/>
          <w:b/>
          <w:color w:val="auto"/>
          <w:sz w:val="22"/>
        </w:rPr>
      </w:pPr>
      <w:r>
        <w:rPr>
          <w:rFonts w:ascii="Arial" w:hAnsi="Arial" w:cs="Arial"/>
          <w:b/>
          <w:color w:val="auto"/>
          <w:sz w:val="22"/>
        </w:rPr>
        <w:t>Lieferbedingungen</w:t>
      </w:r>
    </w:p>
    <w:p>
      <w:pPr>
        <w:pStyle w:val="Listenabsatz"/>
        <w:spacing w:after="162"/>
        <w:ind w:firstLine="0"/>
        <w:rPr>
          <w:rFonts w:ascii="Arial" w:hAnsi="Arial" w:cs="Arial"/>
          <w:b/>
          <w:color w:val="auto"/>
          <w:sz w:val="22"/>
        </w:rPr>
      </w:pPr>
    </w:p>
    <w:p>
      <w:pPr>
        <w:pStyle w:val="Listenabsatz"/>
        <w:spacing w:after="186" w:line="264" w:lineRule="auto"/>
        <w:ind w:left="709" w:firstLine="0"/>
        <w:rPr>
          <w:rFonts w:ascii="Arial" w:hAnsi="Arial" w:cs="Arial"/>
          <w:b/>
          <w:color w:val="auto"/>
          <w:sz w:val="22"/>
        </w:rPr>
      </w:pPr>
      <w:r>
        <w:rPr>
          <w:rFonts w:ascii="Arial" w:hAnsi="Arial" w:cs="Arial"/>
          <w:color w:val="auto"/>
          <w:sz w:val="22"/>
        </w:rPr>
        <w:t>Der o. g. Lieferant und der o. g. Träger von Bildungseinrichtungen (nachfolgend</w:t>
      </w:r>
      <w:r>
        <w:rPr>
          <w:rFonts w:ascii="Arial" w:hAnsi="Arial" w:cs="Arial"/>
          <w:color w:val="auto"/>
          <w:szCs w:val="28"/>
        </w:rPr>
        <w:t xml:space="preserve"> </w:t>
      </w:r>
      <w:r>
        <w:rPr>
          <w:rFonts w:ascii="Arial" w:hAnsi="Arial" w:cs="Arial"/>
          <w:color w:val="auto"/>
          <w:sz w:val="22"/>
        </w:rPr>
        <w:t>Einrichtungsträger genannt) schließen diese Liefer</w:t>
      </w:r>
      <w:r>
        <w:rPr>
          <w:rFonts w:ascii="Arial" w:hAnsi="Arial" w:cs="Arial"/>
          <w:noProof/>
          <w:color w:val="auto"/>
          <w:sz w:val="22"/>
        </w:rPr>
        <w:drawing>
          <wp:inline distT="0" distB="0" distL="0" distR="0">
            <wp:extent cx="3232" cy="6464"/>
            <wp:effectExtent l="0" t="0" r="0" b="0"/>
            <wp:docPr id="1" name="Picture 627"/>
            <wp:cNvGraphicFramePr/>
            <a:graphic xmlns:a="http://schemas.openxmlformats.org/drawingml/2006/main">
              <a:graphicData uri="http://schemas.openxmlformats.org/drawingml/2006/picture">
                <pic:pic xmlns:pic="http://schemas.openxmlformats.org/drawingml/2006/picture">
                  <pic:nvPicPr>
                    <pic:cNvPr id="627" name="Picture 627"/>
                    <pic:cNvPicPr/>
                  </pic:nvPicPr>
                  <pic:blipFill>
                    <a:blip r:embed="rId9"/>
                    <a:stretch>
                      <a:fillRect/>
                    </a:stretch>
                  </pic:blipFill>
                  <pic:spPr>
                    <a:xfrm>
                      <a:off x="0" y="0"/>
                      <a:ext cx="3232" cy="6464"/>
                    </a:xfrm>
                    <a:prstGeom prst="rect">
                      <a:avLst/>
                    </a:prstGeom>
                  </pic:spPr>
                </pic:pic>
              </a:graphicData>
            </a:graphic>
          </wp:inline>
        </w:drawing>
      </w:r>
      <w:r>
        <w:rPr>
          <w:rFonts w:ascii="Arial" w:hAnsi="Arial" w:cs="Arial"/>
          <w:color w:val="auto"/>
          <w:sz w:val="22"/>
        </w:rPr>
        <w:t xml:space="preserve">vereinbarung für </w:t>
      </w:r>
      <w:r>
        <w:rPr>
          <w:rFonts w:ascii="Arial" w:hAnsi="Arial" w:cs="Arial"/>
          <w:i/>
          <w:color w:val="auto"/>
          <w:sz w:val="22"/>
        </w:rPr>
        <w:t>Trinkmilch ohne Zusätze</w:t>
      </w:r>
      <w:r>
        <w:rPr>
          <w:rFonts w:ascii="Arial" w:hAnsi="Arial" w:cs="Arial"/>
          <w:color w:val="auto"/>
          <w:sz w:val="22"/>
        </w:rPr>
        <w:t xml:space="preserve"> für die im Anhang aufgelistete(n) Bildungseinrichtung(en) mit den dort festgelegten Lieferbedingungen ab. </w:t>
      </w:r>
    </w:p>
    <w:p>
      <w:pPr>
        <w:pStyle w:val="Listenabsatz"/>
        <w:spacing w:after="186" w:line="264" w:lineRule="auto"/>
        <w:ind w:left="709" w:firstLine="0"/>
        <w:rPr>
          <w:rFonts w:ascii="Arial" w:hAnsi="Arial" w:cs="Arial"/>
          <w:b/>
          <w:sz w:val="22"/>
        </w:rPr>
      </w:pPr>
    </w:p>
    <w:p>
      <w:pPr>
        <w:pStyle w:val="Listenabsatz"/>
        <w:spacing w:after="186"/>
        <w:ind w:left="244" w:firstLine="0"/>
        <w:rPr>
          <w:rFonts w:ascii="Arial" w:hAnsi="Arial" w:cs="Arial"/>
          <w:b/>
          <w:sz w:val="22"/>
        </w:rPr>
      </w:pPr>
    </w:p>
    <w:p>
      <w:pPr>
        <w:pStyle w:val="Listenabsatz"/>
        <w:numPr>
          <w:ilvl w:val="0"/>
          <w:numId w:val="12"/>
        </w:numPr>
        <w:spacing w:after="162"/>
        <w:rPr>
          <w:rFonts w:ascii="Arial" w:hAnsi="Arial" w:cs="Arial"/>
          <w:b/>
          <w:color w:val="auto"/>
          <w:sz w:val="22"/>
        </w:rPr>
      </w:pPr>
      <w:r>
        <w:rPr>
          <w:rFonts w:ascii="Arial" w:hAnsi="Arial" w:cs="Arial"/>
          <w:b/>
          <w:color w:val="auto"/>
          <w:sz w:val="22"/>
        </w:rPr>
        <w:t>Verpflichtungen des Einrichtungsträgers</w:t>
      </w:r>
    </w:p>
    <w:p>
      <w:pPr>
        <w:pStyle w:val="Listenabsatz"/>
        <w:spacing w:after="186"/>
        <w:ind w:left="244" w:firstLine="0"/>
        <w:rPr>
          <w:rFonts w:ascii="Arial" w:hAnsi="Arial" w:cs="Arial"/>
          <w:b/>
          <w:sz w:val="22"/>
        </w:rPr>
      </w:pPr>
    </w:p>
    <w:p>
      <w:pPr>
        <w:pStyle w:val="Listenabsatz"/>
        <w:widowControl w:val="0"/>
        <w:numPr>
          <w:ilvl w:val="1"/>
          <w:numId w:val="12"/>
        </w:numPr>
        <w:spacing w:after="186" w:line="264" w:lineRule="auto"/>
        <w:rPr>
          <w:rFonts w:ascii="Arial" w:hAnsi="Arial" w:cs="Arial"/>
          <w:color w:val="auto"/>
          <w:sz w:val="22"/>
        </w:rPr>
      </w:pPr>
      <w:r>
        <w:rPr>
          <w:rFonts w:ascii="Arial" w:hAnsi="Arial" w:cs="Arial"/>
          <w:color w:val="auto"/>
          <w:sz w:val="22"/>
        </w:rPr>
        <w:t>Der Einrichtungsträger informiert die im Anhang genannte(n) Einrichtung(en) in ge</w:t>
      </w:r>
      <w:r>
        <w:rPr>
          <w:rFonts w:ascii="Arial" w:hAnsi="Arial" w:cs="Arial"/>
          <w:color w:val="auto"/>
          <w:sz w:val="22"/>
        </w:rPr>
        <w:softHyphen/>
        <w:t>eigneter Weise über die Teilnahmebedingungen und die Pflichten der Bildungsein</w:t>
      </w:r>
      <w:r>
        <w:rPr>
          <w:rFonts w:ascii="Arial" w:hAnsi="Arial" w:cs="Arial"/>
          <w:color w:val="auto"/>
          <w:sz w:val="22"/>
        </w:rPr>
        <w:softHyphen/>
        <w:t>richtung(en), die mit der Teilnahme am EU-Schulprogramm – Komponente Milch ver</w:t>
      </w:r>
      <w:r>
        <w:rPr>
          <w:rFonts w:ascii="Arial" w:hAnsi="Arial" w:cs="Arial"/>
          <w:color w:val="auto"/>
          <w:sz w:val="22"/>
        </w:rPr>
        <w:softHyphen/>
        <w:t>bunden sind. Der Einrichtungsträger überwacht das Verfahren und stellt sicher, dass die teilnehmende(n) Bildungseinrichtung(en) ihren Verpflichtungen nach</w:t>
      </w:r>
      <w:r>
        <w:rPr>
          <w:rFonts w:ascii="Arial" w:hAnsi="Arial" w:cs="Arial"/>
          <w:color w:val="auto"/>
          <w:sz w:val="22"/>
        </w:rPr>
        <w:softHyphen/>
        <w:t>kommt(en) und die Verfahrensregeln eingehalten werden.</w:t>
      </w:r>
    </w:p>
    <w:p>
      <w:pPr>
        <w:pStyle w:val="Listenabsatz"/>
        <w:widowControl w:val="0"/>
        <w:spacing w:after="186" w:line="264" w:lineRule="auto"/>
        <w:ind w:firstLine="0"/>
        <w:rPr>
          <w:rFonts w:ascii="Arial" w:hAnsi="Arial" w:cs="Arial"/>
          <w:color w:val="auto"/>
          <w:sz w:val="22"/>
        </w:rPr>
      </w:pPr>
    </w:p>
    <w:p>
      <w:pPr>
        <w:pStyle w:val="Listenabsatz"/>
        <w:widowControl w:val="0"/>
        <w:numPr>
          <w:ilvl w:val="1"/>
          <w:numId w:val="12"/>
        </w:numPr>
        <w:spacing w:after="186" w:line="264" w:lineRule="auto"/>
        <w:rPr>
          <w:rFonts w:ascii="Arial" w:hAnsi="Arial" w:cs="Arial"/>
          <w:color w:val="auto"/>
          <w:sz w:val="22"/>
        </w:rPr>
      </w:pPr>
      <w:r>
        <w:rPr>
          <w:rFonts w:ascii="Arial" w:hAnsi="Arial" w:cs="Arial"/>
          <w:color w:val="auto"/>
          <w:sz w:val="22"/>
        </w:rPr>
        <w:t>Dem Lieferanten sind die Kontaktdaten der zeichnungsberechtigten Ansprechpartner in der/den teilnehmenden Einrichtung(en) zu benennen.</w:t>
      </w:r>
    </w:p>
    <w:p>
      <w:pPr>
        <w:pStyle w:val="Listenabsatz"/>
        <w:spacing w:after="186"/>
        <w:ind w:left="244" w:firstLine="0"/>
        <w:rPr>
          <w:rFonts w:ascii="Arial" w:hAnsi="Arial" w:cs="Arial"/>
          <w:b/>
          <w:sz w:val="22"/>
        </w:rPr>
      </w:pPr>
    </w:p>
    <w:p>
      <w:pPr>
        <w:pStyle w:val="Listenabsatz"/>
        <w:numPr>
          <w:ilvl w:val="0"/>
          <w:numId w:val="12"/>
        </w:numPr>
        <w:spacing w:after="162"/>
        <w:rPr>
          <w:rFonts w:ascii="Arial" w:hAnsi="Arial" w:cs="Arial"/>
          <w:b/>
          <w:color w:val="auto"/>
          <w:sz w:val="22"/>
        </w:rPr>
      </w:pPr>
      <w:r>
        <w:rPr>
          <w:rFonts w:ascii="Arial" w:hAnsi="Arial" w:cs="Arial"/>
          <w:b/>
          <w:color w:val="auto"/>
          <w:sz w:val="22"/>
        </w:rPr>
        <w:t>Verpflichtungen der teilnehmenden Bildungseinrichtungen</w:t>
      </w:r>
    </w:p>
    <w:p>
      <w:pPr>
        <w:pStyle w:val="Listenabsatz"/>
        <w:spacing w:after="186"/>
        <w:ind w:left="244" w:firstLine="0"/>
        <w:rPr>
          <w:rFonts w:ascii="Arial" w:hAnsi="Arial" w:cs="Arial"/>
          <w:b/>
          <w:color w:val="auto"/>
          <w:sz w:val="22"/>
        </w:rPr>
      </w:pPr>
    </w:p>
    <w:p>
      <w:pPr>
        <w:pStyle w:val="Listenabsatz"/>
        <w:numPr>
          <w:ilvl w:val="1"/>
          <w:numId w:val="12"/>
        </w:numPr>
        <w:spacing w:after="0" w:line="264" w:lineRule="auto"/>
        <w:rPr>
          <w:rFonts w:ascii="Arial" w:hAnsi="Arial" w:cs="Arial"/>
          <w:i/>
          <w:sz w:val="22"/>
        </w:rPr>
      </w:pPr>
      <w:r>
        <w:rPr>
          <w:rFonts w:ascii="Arial" w:hAnsi="Arial" w:cs="Arial"/>
          <w:i/>
          <w:sz w:val="22"/>
        </w:rPr>
        <w:t xml:space="preserve"> Annahme und Verteilung der Produkte </w:t>
      </w:r>
    </w:p>
    <w:p>
      <w:pPr>
        <w:spacing w:line="264" w:lineRule="auto"/>
        <w:ind w:left="709" w:firstLine="0"/>
        <w:rPr>
          <w:rFonts w:ascii="Arial" w:hAnsi="Arial" w:cs="Arial"/>
          <w:sz w:val="22"/>
        </w:rPr>
      </w:pPr>
      <w:r>
        <w:rPr>
          <w:rFonts w:ascii="Arial" w:hAnsi="Arial" w:cs="Arial"/>
          <w:sz w:val="22"/>
        </w:rPr>
        <w:t>Die Annahme, ggf. Zwischenlagerung und Verteilung der Produkte an die berechtigten Kinder/Schüler ist zu organisieren. Die Verteilung hat zeitnah und sachgerecht zu er</w:t>
      </w:r>
      <w:r>
        <w:rPr>
          <w:rFonts w:ascii="Arial" w:hAnsi="Arial" w:cs="Arial"/>
          <w:sz w:val="22"/>
        </w:rPr>
        <w:softHyphen/>
        <w:t>folgen, so dass die Begünstigten die Schulmilch in ordnungsgemäßem Zustand erhalten.</w:t>
      </w:r>
    </w:p>
    <w:p>
      <w:pPr>
        <w:spacing w:line="264" w:lineRule="auto"/>
        <w:ind w:left="709" w:firstLine="0"/>
        <w:rPr>
          <w:rFonts w:ascii="Arial" w:hAnsi="Arial" w:cs="Arial"/>
          <w:sz w:val="22"/>
        </w:rPr>
      </w:pPr>
    </w:p>
    <w:p>
      <w:pPr>
        <w:pStyle w:val="Listenabsatz"/>
        <w:numPr>
          <w:ilvl w:val="1"/>
          <w:numId w:val="12"/>
        </w:numPr>
        <w:spacing w:after="0" w:line="264" w:lineRule="auto"/>
        <w:rPr>
          <w:rFonts w:ascii="Arial" w:hAnsi="Arial" w:cs="Arial"/>
          <w:i/>
          <w:sz w:val="22"/>
        </w:rPr>
      </w:pPr>
      <w:r>
        <w:rPr>
          <w:rFonts w:ascii="Arial" w:hAnsi="Arial" w:cs="Arial"/>
          <w:i/>
          <w:sz w:val="22"/>
        </w:rPr>
        <w:t xml:space="preserve">Änderung der Liefermenge, Änderung der Anzahl der teilnehmenden Kinder </w:t>
      </w:r>
    </w:p>
    <w:p>
      <w:pPr>
        <w:ind w:left="720" w:firstLine="0"/>
        <w:rPr>
          <w:rFonts w:ascii="Arial" w:hAnsi="Arial" w:cs="Arial"/>
          <w:sz w:val="22"/>
        </w:rPr>
      </w:pPr>
      <w:r>
        <w:rPr>
          <w:rFonts w:ascii="Arial" w:hAnsi="Arial" w:cs="Arial"/>
          <w:sz w:val="22"/>
        </w:rPr>
        <w:t>Um eine genaue Planung gewährleisten zu können, verpflichten sich die Bildungsein</w:t>
      </w:r>
      <w:r>
        <w:rPr>
          <w:rFonts w:ascii="Arial" w:hAnsi="Arial" w:cs="Arial"/>
          <w:sz w:val="22"/>
        </w:rPr>
        <w:softHyphen/>
        <w:t xml:space="preserve">richtung(en) </w:t>
      </w:r>
      <w:r>
        <w:rPr>
          <w:rFonts w:ascii="Arial" w:hAnsi="Arial" w:cs="Arial"/>
          <w:color w:val="auto"/>
          <w:sz w:val="22"/>
        </w:rPr>
        <w:t xml:space="preserve">Restbestände dem Lieferanten rechtzeitig mitzuteilen, damit die nächste Lieferung dementsprechend angepasst werden kann. </w:t>
      </w:r>
    </w:p>
    <w:p>
      <w:pPr>
        <w:ind w:left="720" w:firstLine="0"/>
        <w:rPr>
          <w:rFonts w:ascii="Arial" w:hAnsi="Arial" w:cs="Arial"/>
          <w:sz w:val="22"/>
        </w:rPr>
      </w:pPr>
      <w:r>
        <w:rPr>
          <w:rFonts w:ascii="Arial" w:hAnsi="Arial" w:cs="Arial"/>
          <w:sz w:val="22"/>
        </w:rPr>
        <w:lastRenderedPageBreak/>
        <w:t>Darüber hinaus kann die Bildungseinrichtung kurzfristig auf die Lieferung von Schulmilch verzichten, wenn zwingende Gründe vorliegen (z. B. Anweisungen des Gesundheitsamtes, kurzfristige pandemiebedingte Schließungen).</w:t>
      </w:r>
    </w:p>
    <w:p>
      <w:pPr>
        <w:ind w:left="708" w:firstLine="0"/>
        <w:rPr>
          <w:rFonts w:ascii="Arial" w:hAnsi="Arial" w:cs="Arial"/>
          <w:sz w:val="22"/>
        </w:rPr>
      </w:pPr>
    </w:p>
    <w:p>
      <w:pPr>
        <w:ind w:left="708" w:firstLine="0"/>
        <w:rPr>
          <w:rFonts w:ascii="Arial" w:hAnsi="Arial" w:cs="Arial"/>
          <w:sz w:val="22"/>
        </w:rPr>
      </w:pPr>
      <w:r>
        <w:rPr>
          <w:rFonts w:ascii="Arial" w:hAnsi="Arial" w:cs="Arial"/>
          <w:sz w:val="22"/>
        </w:rPr>
        <w:t xml:space="preserve">Ändert sich im Laufe des </w:t>
      </w:r>
      <w:r>
        <w:rPr>
          <w:rFonts w:ascii="Arial" w:hAnsi="Arial" w:cs="Arial"/>
          <w:color w:val="auto"/>
          <w:sz w:val="22"/>
        </w:rPr>
        <w:t xml:space="preserve">Lieferzeitraumes dauerhaft </w:t>
      </w:r>
      <w:r>
        <w:rPr>
          <w:rFonts w:ascii="Arial" w:hAnsi="Arial" w:cs="Arial"/>
          <w:sz w:val="22"/>
        </w:rPr>
        <w:t>die Anzahl der teilnehmenden Kinder, ist dies dem Lieferanten und dem Einrichtungsträger umgehend mitzuteilen.</w:t>
      </w:r>
    </w:p>
    <w:p>
      <w:pPr>
        <w:pStyle w:val="Listenabsatz"/>
        <w:ind w:left="238" w:firstLine="0"/>
        <w:rPr>
          <w:rFonts w:ascii="Arial" w:hAnsi="Arial" w:cs="Arial"/>
          <w:i/>
          <w:sz w:val="22"/>
        </w:rPr>
      </w:pPr>
    </w:p>
    <w:p>
      <w:pPr>
        <w:pStyle w:val="Listenabsatz"/>
        <w:numPr>
          <w:ilvl w:val="1"/>
          <w:numId w:val="12"/>
        </w:numPr>
        <w:spacing w:after="0" w:line="264" w:lineRule="auto"/>
        <w:rPr>
          <w:rFonts w:ascii="Arial" w:hAnsi="Arial" w:cs="Arial"/>
          <w:i/>
          <w:sz w:val="22"/>
        </w:rPr>
      </w:pPr>
      <w:r>
        <w:rPr>
          <w:rFonts w:ascii="Arial" w:hAnsi="Arial" w:cs="Arial"/>
          <w:i/>
          <w:sz w:val="22"/>
        </w:rPr>
        <w:t>Quittierung der Liefernachweise</w:t>
      </w:r>
      <w:r>
        <w:rPr>
          <w:rFonts w:ascii="Arial" w:hAnsi="Arial" w:cs="Arial"/>
          <w:noProof/>
          <w:sz w:val="22"/>
        </w:rPr>
        <w:drawing>
          <wp:inline distT="0" distB="0" distL="0" distR="0">
            <wp:extent cx="3232" cy="3232"/>
            <wp:effectExtent l="0" t="0" r="0" b="0"/>
            <wp:docPr id="4957" name="Picture 4957"/>
            <wp:cNvGraphicFramePr/>
            <a:graphic xmlns:a="http://schemas.openxmlformats.org/drawingml/2006/main">
              <a:graphicData uri="http://schemas.openxmlformats.org/drawingml/2006/picture">
                <pic:pic xmlns:pic="http://schemas.openxmlformats.org/drawingml/2006/picture">
                  <pic:nvPicPr>
                    <pic:cNvPr id="4957" name="Picture 4957"/>
                    <pic:cNvPicPr/>
                  </pic:nvPicPr>
                  <pic:blipFill>
                    <a:blip r:embed="rId10"/>
                    <a:stretch>
                      <a:fillRect/>
                    </a:stretch>
                  </pic:blipFill>
                  <pic:spPr>
                    <a:xfrm>
                      <a:off x="0" y="0"/>
                      <a:ext cx="3232" cy="3232"/>
                    </a:xfrm>
                    <a:prstGeom prst="rect">
                      <a:avLst/>
                    </a:prstGeom>
                  </pic:spPr>
                </pic:pic>
              </a:graphicData>
            </a:graphic>
          </wp:inline>
        </w:drawing>
      </w:r>
    </w:p>
    <w:p>
      <w:pPr>
        <w:spacing w:line="264" w:lineRule="auto"/>
        <w:ind w:left="709" w:firstLine="0"/>
        <w:rPr>
          <w:rFonts w:ascii="Arial" w:hAnsi="Arial" w:cs="Arial"/>
          <w:color w:val="auto"/>
          <w:sz w:val="22"/>
        </w:rPr>
      </w:pPr>
      <w:r>
        <w:rPr>
          <w:rFonts w:ascii="Arial" w:hAnsi="Arial" w:cs="Arial"/>
          <w:color w:val="auto"/>
          <w:sz w:val="22"/>
        </w:rPr>
        <w:t>Die Einrichtung(en) kontrolliert den Liefernachweis für den jeweiligen Liefermonat, den sie vom Lieferanten erhält und gibt diesen innerhalb von einer Woche unterschrieben und gestempelt an den Lieferanten zurück. Sichtbare Mängel der angelieferten Ware sind auf dem Lieferschein des Lieferanten zu vermerken. Bemängelungen sind mit Pro</w:t>
      </w:r>
      <w:r>
        <w:rPr>
          <w:rFonts w:ascii="Arial" w:hAnsi="Arial" w:cs="Arial"/>
          <w:color w:val="auto"/>
          <w:sz w:val="22"/>
        </w:rPr>
        <w:softHyphen/>
        <w:t>dukt, Verzehrtag oder -woche und Menge zu konkretisieren. Sollten Ersatzlieferungen erfolgt sein, so ist dies ebenfalls mit Produkt und Menge anzugeben.</w:t>
      </w:r>
    </w:p>
    <w:p>
      <w:pPr>
        <w:ind w:left="238" w:firstLine="0"/>
        <w:rPr>
          <w:rFonts w:ascii="Arial" w:hAnsi="Arial" w:cs="Arial"/>
          <w:sz w:val="22"/>
        </w:rPr>
      </w:pPr>
    </w:p>
    <w:p>
      <w:pPr>
        <w:pStyle w:val="Listenabsatz"/>
        <w:numPr>
          <w:ilvl w:val="1"/>
          <w:numId w:val="12"/>
        </w:numPr>
        <w:spacing w:after="0" w:line="264" w:lineRule="auto"/>
        <w:rPr>
          <w:rFonts w:ascii="Arial" w:hAnsi="Arial" w:cs="Arial"/>
          <w:i/>
          <w:sz w:val="22"/>
        </w:rPr>
      </w:pPr>
      <w:r>
        <w:rPr>
          <w:rFonts w:ascii="Arial" w:hAnsi="Arial" w:cs="Arial"/>
          <w:i/>
          <w:sz w:val="22"/>
        </w:rPr>
        <w:t>Aufbewahrung der Belege</w:t>
      </w:r>
    </w:p>
    <w:p>
      <w:pPr>
        <w:spacing w:line="264" w:lineRule="auto"/>
        <w:ind w:left="709" w:firstLine="0"/>
        <w:rPr>
          <w:rFonts w:ascii="Arial" w:hAnsi="Arial" w:cs="Arial"/>
          <w:sz w:val="22"/>
        </w:rPr>
      </w:pPr>
      <w:r>
        <w:rPr>
          <w:rFonts w:ascii="Arial" w:hAnsi="Arial" w:cs="Arial"/>
          <w:sz w:val="22"/>
        </w:rPr>
        <w:t>Die Lieferscheine jeder Einzellieferung müssen für die Dauer von mindestens 5 Jahren aufbewahrt und auf Verlangen der Bewilligungsbehörde vorgelegt werden.</w:t>
      </w:r>
    </w:p>
    <w:p>
      <w:pPr>
        <w:ind w:left="238" w:firstLine="0"/>
        <w:rPr>
          <w:rFonts w:ascii="Arial" w:hAnsi="Arial" w:cs="Arial"/>
          <w:sz w:val="22"/>
        </w:rPr>
      </w:pPr>
    </w:p>
    <w:p>
      <w:pPr>
        <w:pStyle w:val="Listenabsatz"/>
        <w:numPr>
          <w:ilvl w:val="1"/>
          <w:numId w:val="12"/>
        </w:numPr>
        <w:spacing w:after="0" w:line="264" w:lineRule="auto"/>
        <w:rPr>
          <w:rFonts w:ascii="Arial" w:hAnsi="Arial" w:cs="Arial"/>
          <w:i/>
          <w:sz w:val="22"/>
        </w:rPr>
      </w:pPr>
      <w:r>
        <w:rPr>
          <w:rFonts w:ascii="Arial" w:hAnsi="Arial" w:cs="Arial"/>
          <w:i/>
          <w:sz w:val="22"/>
        </w:rPr>
        <w:t>Verwendung der Produkte</w:t>
      </w:r>
    </w:p>
    <w:p>
      <w:pPr>
        <w:spacing w:line="264" w:lineRule="auto"/>
        <w:ind w:left="709" w:firstLine="0"/>
        <w:rPr>
          <w:rFonts w:ascii="Arial" w:hAnsi="Arial" w:cs="Arial"/>
          <w:sz w:val="22"/>
        </w:rPr>
      </w:pPr>
      <w:r>
        <w:rPr>
          <w:rFonts w:ascii="Arial" w:hAnsi="Arial" w:cs="Arial"/>
          <w:sz w:val="22"/>
        </w:rPr>
        <w:t xml:space="preserve">Die gelieferten Produkte dürfen nur an berechtigte Kinder </w:t>
      </w:r>
      <w:r>
        <w:rPr>
          <w:rFonts w:ascii="Arial" w:hAnsi="Arial" w:cs="Arial"/>
          <w:color w:val="auto"/>
          <w:sz w:val="22"/>
        </w:rPr>
        <w:t xml:space="preserve">der Einrichtung(en) verteilt werden. Eine Abgabe zusammen mit der Mittagsmahlzeit z. B. als Nachtisch oder </w:t>
      </w:r>
      <w:r>
        <w:rPr>
          <w:rFonts w:ascii="Arial" w:hAnsi="Arial" w:cs="Arial"/>
          <w:sz w:val="22"/>
        </w:rPr>
        <w:t>die Verwendung für die Zubereitung von Mahlzeiten wie z. B. für Grießbrei, ist nicht zu</w:t>
      </w:r>
      <w:r>
        <w:rPr>
          <w:rFonts w:ascii="Arial" w:hAnsi="Arial" w:cs="Arial"/>
          <w:sz w:val="22"/>
        </w:rPr>
        <w:softHyphen/>
        <w:t>lässig.</w:t>
      </w:r>
      <w:r>
        <w:rPr>
          <w:rFonts w:ascii="Arial" w:hAnsi="Arial" w:cs="Arial"/>
          <w:noProof/>
          <w:sz w:val="22"/>
        </w:rPr>
        <w:drawing>
          <wp:inline distT="0" distB="0" distL="0" distR="0">
            <wp:extent cx="3232" cy="6464"/>
            <wp:effectExtent l="0" t="0" r="0" b="0"/>
            <wp:docPr id="4958" name="Picture 4958"/>
            <wp:cNvGraphicFramePr/>
            <a:graphic xmlns:a="http://schemas.openxmlformats.org/drawingml/2006/main">
              <a:graphicData uri="http://schemas.openxmlformats.org/drawingml/2006/picture">
                <pic:pic xmlns:pic="http://schemas.openxmlformats.org/drawingml/2006/picture">
                  <pic:nvPicPr>
                    <pic:cNvPr id="4958" name="Picture 4958"/>
                    <pic:cNvPicPr/>
                  </pic:nvPicPr>
                  <pic:blipFill>
                    <a:blip r:embed="rId11"/>
                    <a:stretch>
                      <a:fillRect/>
                    </a:stretch>
                  </pic:blipFill>
                  <pic:spPr>
                    <a:xfrm>
                      <a:off x="0" y="0"/>
                      <a:ext cx="3232" cy="6464"/>
                    </a:xfrm>
                    <a:prstGeom prst="rect">
                      <a:avLst/>
                    </a:prstGeom>
                  </pic:spPr>
                </pic:pic>
              </a:graphicData>
            </a:graphic>
          </wp:inline>
        </w:drawing>
      </w:r>
      <w:r>
        <w:rPr>
          <w:rFonts w:ascii="Arial" w:hAnsi="Arial" w:cs="Arial"/>
          <w:sz w:val="22"/>
        </w:rPr>
        <w:t xml:space="preserve"> Es ist darauf zu achten, dass die Trinkmilch ohne Zusätze konsumiert wird</w:t>
      </w:r>
      <w:r>
        <w:rPr>
          <w:rFonts w:ascii="Arial" w:hAnsi="Arial" w:cs="Arial"/>
          <w:noProof/>
          <w:sz w:val="22"/>
        </w:rPr>
        <w:drawing>
          <wp:inline distT="0" distB="0" distL="0" distR="0">
            <wp:extent cx="19390" cy="19391"/>
            <wp:effectExtent l="0" t="0" r="0" b="0"/>
            <wp:docPr id="4959" name="Picture 4959"/>
            <wp:cNvGraphicFramePr/>
            <a:graphic xmlns:a="http://schemas.openxmlformats.org/drawingml/2006/main">
              <a:graphicData uri="http://schemas.openxmlformats.org/drawingml/2006/picture">
                <pic:pic xmlns:pic="http://schemas.openxmlformats.org/drawingml/2006/picture">
                  <pic:nvPicPr>
                    <pic:cNvPr id="4959" name="Picture 4959"/>
                    <pic:cNvPicPr/>
                  </pic:nvPicPr>
                  <pic:blipFill>
                    <a:blip r:embed="rId12"/>
                    <a:stretch>
                      <a:fillRect/>
                    </a:stretch>
                  </pic:blipFill>
                  <pic:spPr>
                    <a:xfrm>
                      <a:off x="0" y="0"/>
                      <a:ext cx="19390" cy="19391"/>
                    </a:xfrm>
                    <a:prstGeom prst="rect">
                      <a:avLst/>
                    </a:prstGeom>
                  </pic:spPr>
                </pic:pic>
              </a:graphicData>
            </a:graphic>
          </wp:inline>
        </w:drawing>
      </w:r>
    </w:p>
    <w:p>
      <w:pPr>
        <w:pStyle w:val="Listenabsatz"/>
        <w:spacing w:after="0" w:line="264" w:lineRule="auto"/>
        <w:ind w:left="5" w:firstLine="0"/>
        <w:rPr>
          <w:rFonts w:ascii="Arial" w:hAnsi="Arial" w:cs="Arial"/>
          <w:i/>
          <w:sz w:val="22"/>
        </w:rPr>
      </w:pPr>
    </w:p>
    <w:p>
      <w:pPr>
        <w:pStyle w:val="Listenabsatz"/>
        <w:numPr>
          <w:ilvl w:val="1"/>
          <w:numId w:val="12"/>
        </w:numPr>
        <w:spacing w:after="0" w:line="264" w:lineRule="auto"/>
        <w:rPr>
          <w:rFonts w:ascii="Arial" w:hAnsi="Arial" w:cs="Arial"/>
          <w:i/>
          <w:sz w:val="22"/>
        </w:rPr>
      </w:pPr>
      <w:r>
        <w:rPr>
          <w:rFonts w:ascii="Arial" w:hAnsi="Arial" w:cs="Arial"/>
          <w:i/>
          <w:sz w:val="22"/>
        </w:rPr>
        <w:t>Aushang des Posters</w:t>
      </w:r>
    </w:p>
    <w:p>
      <w:pPr>
        <w:spacing w:line="264" w:lineRule="auto"/>
        <w:ind w:left="709" w:firstLine="0"/>
        <w:rPr>
          <w:rFonts w:ascii="Arial" w:hAnsi="Arial" w:cs="Arial"/>
          <w:sz w:val="22"/>
        </w:rPr>
      </w:pPr>
      <w:r>
        <w:rPr>
          <w:rFonts w:ascii="Arial" w:hAnsi="Arial" w:cs="Arial"/>
          <w:sz w:val="22"/>
        </w:rPr>
        <w:t xml:space="preserve">Die </w:t>
      </w:r>
      <w:r>
        <w:rPr>
          <w:rFonts w:ascii="Arial" w:hAnsi="Arial" w:cs="Arial"/>
          <w:color w:val="auto"/>
          <w:sz w:val="22"/>
        </w:rPr>
        <w:t>Einrichtung(en) ist/sind verpflichtet</w:t>
      </w:r>
      <w:r>
        <w:rPr>
          <w:rFonts w:ascii="Arial" w:hAnsi="Arial" w:cs="Arial"/>
          <w:sz w:val="22"/>
        </w:rPr>
        <w:t xml:space="preserve">, das offizielle Poster zum EU-Schulprogramm deutlich sichtbar und dauerhaft im </w:t>
      </w:r>
      <w:r>
        <w:rPr>
          <w:rFonts w:ascii="Arial" w:hAnsi="Arial" w:cs="Arial"/>
          <w:color w:val="auto"/>
          <w:sz w:val="22"/>
        </w:rPr>
        <w:t>Eingangsbereich der Einrichtung(en) anzubringen</w:t>
      </w:r>
      <w:r>
        <w:rPr>
          <w:rFonts w:ascii="Arial" w:hAnsi="Arial" w:cs="Arial"/>
          <w:sz w:val="22"/>
        </w:rPr>
        <w:t>.</w:t>
      </w:r>
    </w:p>
    <w:p>
      <w:pPr>
        <w:pStyle w:val="Listenabsatz"/>
        <w:spacing w:line="264" w:lineRule="auto"/>
        <w:ind w:left="238" w:firstLine="0"/>
        <w:rPr>
          <w:rFonts w:ascii="Arial" w:hAnsi="Arial" w:cs="Arial"/>
          <w:sz w:val="22"/>
        </w:rPr>
      </w:pPr>
    </w:p>
    <w:p>
      <w:pPr>
        <w:pStyle w:val="Listenabsatz"/>
        <w:numPr>
          <w:ilvl w:val="1"/>
          <w:numId w:val="12"/>
        </w:numPr>
        <w:spacing w:after="0" w:line="264" w:lineRule="auto"/>
        <w:rPr>
          <w:rFonts w:ascii="Arial" w:hAnsi="Arial" w:cs="Arial"/>
          <w:i/>
          <w:sz w:val="22"/>
        </w:rPr>
      </w:pPr>
      <w:r>
        <w:rPr>
          <w:rFonts w:ascii="Arial" w:hAnsi="Arial" w:cs="Arial"/>
          <w:i/>
          <w:sz w:val="22"/>
        </w:rPr>
        <w:t>Hygieneanforderungen</w:t>
      </w:r>
    </w:p>
    <w:p>
      <w:pPr>
        <w:spacing w:line="264" w:lineRule="auto"/>
        <w:ind w:left="709" w:firstLine="0"/>
        <w:rPr>
          <w:rFonts w:ascii="Arial" w:hAnsi="Arial" w:cs="Arial"/>
          <w:sz w:val="22"/>
        </w:rPr>
      </w:pPr>
      <w:r>
        <w:rPr>
          <w:rFonts w:ascii="Arial" w:hAnsi="Arial" w:cs="Arial"/>
          <w:sz w:val="22"/>
        </w:rPr>
        <w:t>Die hygienischen Anforderungen an den Umgang mit den Produkten müssen erfüllt werden.</w:t>
      </w:r>
    </w:p>
    <w:p>
      <w:pPr>
        <w:pStyle w:val="Listenabsatz"/>
        <w:spacing w:line="264" w:lineRule="auto"/>
        <w:ind w:left="238" w:firstLine="0"/>
        <w:rPr>
          <w:rFonts w:ascii="Arial" w:hAnsi="Arial" w:cs="Arial"/>
          <w:i/>
          <w:sz w:val="22"/>
        </w:rPr>
      </w:pPr>
    </w:p>
    <w:p>
      <w:pPr>
        <w:pStyle w:val="Listenabsatz"/>
        <w:numPr>
          <w:ilvl w:val="1"/>
          <w:numId w:val="12"/>
        </w:numPr>
        <w:spacing w:after="0" w:line="264" w:lineRule="auto"/>
        <w:rPr>
          <w:rFonts w:ascii="Arial" w:hAnsi="Arial" w:cs="Arial"/>
          <w:i/>
          <w:sz w:val="22"/>
        </w:rPr>
      </w:pPr>
      <w:r>
        <w:rPr>
          <w:rFonts w:ascii="Arial" w:hAnsi="Arial" w:cs="Arial"/>
          <w:i/>
          <w:sz w:val="22"/>
        </w:rPr>
        <w:t>Pädagogische Maßnahme</w:t>
      </w:r>
    </w:p>
    <w:p>
      <w:pPr>
        <w:spacing w:line="264" w:lineRule="auto"/>
        <w:ind w:left="709" w:firstLine="0"/>
        <w:rPr>
          <w:rFonts w:ascii="Arial" w:hAnsi="Arial" w:cs="Arial"/>
          <w:sz w:val="22"/>
        </w:rPr>
      </w:pPr>
      <w:r>
        <w:rPr>
          <w:rFonts w:ascii="Arial" w:hAnsi="Arial" w:cs="Arial"/>
          <w:sz w:val="22"/>
        </w:rPr>
        <w:t xml:space="preserve">Die </w:t>
      </w:r>
      <w:r>
        <w:rPr>
          <w:rFonts w:ascii="Arial" w:hAnsi="Arial" w:cs="Arial"/>
          <w:color w:val="auto"/>
          <w:sz w:val="22"/>
        </w:rPr>
        <w:t xml:space="preserve">im Anhang genannte(n) Bildungseinrichtung(en) </w:t>
      </w:r>
      <w:r>
        <w:rPr>
          <w:rFonts w:ascii="Arial" w:hAnsi="Arial" w:cs="Arial"/>
          <w:sz w:val="22"/>
        </w:rPr>
        <w:t>hat/haben, mindestens eine be</w:t>
      </w:r>
      <w:r>
        <w:rPr>
          <w:rFonts w:ascii="Arial" w:hAnsi="Arial" w:cs="Arial"/>
          <w:sz w:val="22"/>
        </w:rPr>
        <w:softHyphen/>
        <w:t>gleitende pädagogische Maßnahme im Lieferzeitraum durchzuführen und zu dokumen</w:t>
      </w:r>
      <w:r>
        <w:rPr>
          <w:rFonts w:ascii="Arial" w:hAnsi="Arial" w:cs="Arial"/>
          <w:sz w:val="22"/>
        </w:rPr>
        <w:softHyphen/>
        <w:t>tieren.</w:t>
      </w:r>
    </w:p>
    <w:p>
      <w:pPr>
        <w:spacing w:line="264" w:lineRule="auto"/>
        <w:ind w:left="238" w:firstLine="0"/>
        <w:rPr>
          <w:rFonts w:ascii="Arial" w:hAnsi="Arial" w:cs="Arial"/>
          <w:sz w:val="22"/>
        </w:rPr>
      </w:pPr>
    </w:p>
    <w:p>
      <w:pPr>
        <w:pStyle w:val="Listenabsatz"/>
        <w:numPr>
          <w:ilvl w:val="1"/>
          <w:numId w:val="12"/>
        </w:numPr>
        <w:spacing w:after="0" w:line="264" w:lineRule="auto"/>
        <w:rPr>
          <w:rFonts w:ascii="Arial" w:hAnsi="Arial" w:cs="Arial"/>
          <w:i/>
          <w:sz w:val="22"/>
        </w:rPr>
      </w:pPr>
      <w:r>
        <w:rPr>
          <w:rFonts w:ascii="Arial" w:hAnsi="Arial" w:cs="Arial"/>
          <w:i/>
          <w:sz w:val="22"/>
        </w:rPr>
        <w:t>Subventionserhebliche Tatsachen, Ausschluss vom EU-Schulprogramm</w:t>
      </w:r>
    </w:p>
    <w:p>
      <w:pPr>
        <w:spacing w:line="264" w:lineRule="auto"/>
        <w:ind w:left="709" w:firstLine="6"/>
        <w:rPr>
          <w:rFonts w:ascii="Arial" w:hAnsi="Arial" w:cs="Arial"/>
          <w:color w:val="auto"/>
          <w:sz w:val="22"/>
        </w:rPr>
      </w:pPr>
      <w:r>
        <w:rPr>
          <w:rFonts w:ascii="Arial" w:hAnsi="Arial" w:cs="Arial"/>
          <w:color w:val="auto"/>
          <w:sz w:val="22"/>
        </w:rPr>
        <w:t xml:space="preserve">Alle Angaben der Bildungseinrichtung(en), die im Zusammenhang mit der Teilnahme am EU-Schulprogramm stehen und von denen der Milchlieferumfang abhängig </w:t>
      </w:r>
      <w:r>
        <w:rPr>
          <w:rFonts w:ascii="Arial" w:hAnsi="Arial" w:cs="Arial"/>
          <w:noProof/>
          <w:color w:val="auto"/>
          <w:sz w:val="22"/>
        </w:rPr>
        <w:drawing>
          <wp:inline distT="0" distB="0" distL="0" distR="0">
            <wp:extent cx="3232" cy="6464"/>
            <wp:effectExtent l="0" t="0" r="0" b="0"/>
            <wp:docPr id="4960" name="Picture 4960"/>
            <wp:cNvGraphicFramePr/>
            <a:graphic xmlns:a="http://schemas.openxmlformats.org/drawingml/2006/main">
              <a:graphicData uri="http://schemas.openxmlformats.org/drawingml/2006/picture">
                <pic:pic xmlns:pic="http://schemas.openxmlformats.org/drawingml/2006/picture">
                  <pic:nvPicPr>
                    <pic:cNvPr id="4960" name="Picture 4960"/>
                    <pic:cNvPicPr/>
                  </pic:nvPicPr>
                  <pic:blipFill>
                    <a:blip r:embed="rId13"/>
                    <a:stretch>
                      <a:fillRect/>
                    </a:stretch>
                  </pic:blipFill>
                  <pic:spPr>
                    <a:xfrm>
                      <a:off x="0" y="0"/>
                      <a:ext cx="3232" cy="6464"/>
                    </a:xfrm>
                    <a:prstGeom prst="rect">
                      <a:avLst/>
                    </a:prstGeom>
                  </pic:spPr>
                </pic:pic>
              </a:graphicData>
            </a:graphic>
          </wp:inline>
        </w:drawing>
      </w:r>
      <w:r>
        <w:rPr>
          <w:rFonts w:ascii="Arial" w:hAnsi="Arial" w:cs="Arial"/>
          <w:color w:val="auto"/>
          <w:sz w:val="22"/>
        </w:rPr>
        <w:t xml:space="preserve">ist, sind subventionserhebliche Tatsachen. </w:t>
      </w:r>
      <w:r>
        <w:rPr>
          <w:rFonts w:ascii="Arial" w:hAnsi="Arial" w:cs="Arial"/>
          <w:noProof/>
          <w:color w:val="auto"/>
          <w:sz w:val="22"/>
        </w:rPr>
        <w:drawing>
          <wp:inline distT="0" distB="0" distL="0" distR="0">
            <wp:extent cx="3232" cy="3232"/>
            <wp:effectExtent l="0" t="0" r="0" b="0"/>
            <wp:docPr id="4961" name="Picture 4961"/>
            <wp:cNvGraphicFramePr/>
            <a:graphic xmlns:a="http://schemas.openxmlformats.org/drawingml/2006/main">
              <a:graphicData uri="http://schemas.openxmlformats.org/drawingml/2006/picture">
                <pic:pic xmlns:pic="http://schemas.openxmlformats.org/drawingml/2006/picture">
                  <pic:nvPicPr>
                    <pic:cNvPr id="4961" name="Picture 4961"/>
                    <pic:cNvPicPr/>
                  </pic:nvPicPr>
                  <pic:blipFill>
                    <a:blip r:embed="rId14"/>
                    <a:stretch>
                      <a:fillRect/>
                    </a:stretch>
                  </pic:blipFill>
                  <pic:spPr>
                    <a:xfrm>
                      <a:off x="0" y="0"/>
                      <a:ext cx="3232" cy="3232"/>
                    </a:xfrm>
                    <a:prstGeom prst="rect">
                      <a:avLst/>
                    </a:prstGeom>
                  </pic:spPr>
                </pic:pic>
              </a:graphicData>
            </a:graphic>
          </wp:inline>
        </w:drawing>
      </w:r>
      <w:r>
        <w:rPr>
          <w:rFonts w:ascii="Arial" w:hAnsi="Arial" w:cs="Arial"/>
          <w:color w:val="auto"/>
          <w:sz w:val="22"/>
        </w:rPr>
        <w:t>Sofern Milchlieferungen aufgrund von falschen Angaben erfolgen oder nachweislich Verstöße der Einrichtung(en) gegen die o. g. Ver</w:t>
      </w:r>
      <w:r>
        <w:rPr>
          <w:rFonts w:ascii="Arial" w:hAnsi="Arial" w:cs="Arial"/>
          <w:color w:val="auto"/>
          <w:sz w:val="22"/>
        </w:rPr>
        <w:softHyphen/>
        <w:t>pflichtungen festgestellt werden, kann dies Schadenersatzansprüche des Lieferanten gegenüber der/den Einrichtung(en) auslösen bzw. zu einem Ausschluss der Ein</w:t>
      </w:r>
      <w:r>
        <w:rPr>
          <w:rFonts w:ascii="Arial" w:hAnsi="Arial" w:cs="Arial"/>
          <w:color w:val="auto"/>
          <w:sz w:val="22"/>
        </w:rPr>
        <w:softHyphen/>
        <w:t>richtung(en) vom EU-Schulprogramm führen.</w:t>
      </w:r>
    </w:p>
    <w:p>
      <w:pPr>
        <w:spacing w:line="264" w:lineRule="auto"/>
        <w:ind w:left="709" w:firstLine="6"/>
        <w:rPr>
          <w:rFonts w:ascii="Arial" w:hAnsi="Arial" w:cs="Arial"/>
          <w:sz w:val="22"/>
        </w:rPr>
      </w:pPr>
    </w:p>
    <w:p>
      <w:pPr>
        <w:spacing w:line="264" w:lineRule="auto"/>
        <w:ind w:left="709" w:firstLine="6"/>
        <w:rPr>
          <w:rFonts w:ascii="Arial" w:hAnsi="Arial" w:cs="Arial"/>
          <w:sz w:val="22"/>
        </w:rPr>
      </w:pPr>
    </w:p>
    <w:p>
      <w:pPr>
        <w:spacing w:line="264" w:lineRule="auto"/>
        <w:ind w:left="709" w:firstLine="6"/>
        <w:rPr>
          <w:rFonts w:ascii="Arial" w:hAnsi="Arial" w:cs="Arial"/>
          <w:sz w:val="22"/>
        </w:rPr>
      </w:pPr>
    </w:p>
    <w:p>
      <w:pPr>
        <w:spacing w:line="264" w:lineRule="auto"/>
        <w:ind w:left="709" w:firstLine="6"/>
        <w:rPr>
          <w:rFonts w:ascii="Arial" w:hAnsi="Arial" w:cs="Arial"/>
          <w:sz w:val="22"/>
        </w:rPr>
      </w:pPr>
    </w:p>
    <w:p>
      <w:pPr>
        <w:spacing w:line="264" w:lineRule="auto"/>
        <w:ind w:left="709" w:firstLine="6"/>
        <w:rPr>
          <w:rFonts w:ascii="Arial" w:hAnsi="Arial" w:cs="Arial"/>
          <w:sz w:val="22"/>
        </w:rPr>
      </w:pPr>
    </w:p>
    <w:p>
      <w:pPr>
        <w:spacing w:line="264" w:lineRule="auto"/>
        <w:ind w:left="709" w:firstLine="6"/>
        <w:rPr>
          <w:rFonts w:ascii="Arial" w:hAnsi="Arial" w:cs="Arial"/>
          <w:sz w:val="22"/>
        </w:rPr>
      </w:pPr>
    </w:p>
    <w:p>
      <w:pPr>
        <w:pStyle w:val="Listenabsatz"/>
        <w:numPr>
          <w:ilvl w:val="0"/>
          <w:numId w:val="12"/>
        </w:numPr>
        <w:spacing w:after="0" w:line="264" w:lineRule="auto"/>
        <w:ind w:left="714" w:hanging="357"/>
        <w:rPr>
          <w:rFonts w:ascii="Arial" w:hAnsi="Arial" w:cs="Arial"/>
          <w:b/>
          <w:color w:val="auto"/>
          <w:sz w:val="22"/>
        </w:rPr>
      </w:pPr>
      <w:r>
        <w:rPr>
          <w:rFonts w:ascii="Arial" w:hAnsi="Arial" w:cs="Arial"/>
          <w:b/>
          <w:color w:val="auto"/>
          <w:sz w:val="22"/>
        </w:rPr>
        <w:lastRenderedPageBreak/>
        <w:t>Verpflichtungen des Lieferanten</w:t>
      </w:r>
    </w:p>
    <w:p>
      <w:pPr>
        <w:ind w:left="0" w:firstLine="0"/>
        <w:rPr>
          <w:rFonts w:ascii="Arial" w:hAnsi="Arial" w:cs="Arial"/>
          <w:i/>
          <w:sz w:val="22"/>
        </w:rPr>
      </w:pPr>
    </w:p>
    <w:p>
      <w:pPr>
        <w:spacing w:line="264" w:lineRule="auto"/>
        <w:ind w:left="357" w:firstLine="6"/>
        <w:rPr>
          <w:rFonts w:ascii="Arial" w:hAnsi="Arial" w:cs="Arial"/>
          <w:i/>
          <w:sz w:val="22"/>
        </w:rPr>
      </w:pPr>
      <w:r>
        <w:rPr>
          <w:rFonts w:ascii="Arial" w:hAnsi="Arial" w:cs="Arial"/>
          <w:sz w:val="22"/>
        </w:rPr>
        <w:t>4.1</w:t>
      </w:r>
      <w:r>
        <w:rPr>
          <w:rFonts w:ascii="Arial" w:hAnsi="Arial" w:cs="Arial"/>
          <w:i/>
          <w:sz w:val="22"/>
        </w:rPr>
        <w:tab/>
        <w:t>Bereitstellung der Produkte</w:t>
      </w:r>
    </w:p>
    <w:p>
      <w:pPr>
        <w:pStyle w:val="Listenabsatz"/>
        <w:spacing w:line="264" w:lineRule="auto"/>
        <w:ind w:left="709" w:firstLine="0"/>
        <w:rPr>
          <w:rFonts w:ascii="Arial" w:hAnsi="Arial" w:cs="Arial"/>
          <w:color w:val="auto"/>
          <w:sz w:val="22"/>
        </w:rPr>
      </w:pPr>
      <w:r>
        <w:rPr>
          <w:rFonts w:ascii="Arial" w:hAnsi="Arial" w:cs="Arial"/>
          <w:sz w:val="22"/>
        </w:rPr>
        <w:t>Der Lieferant stellt der</w:t>
      </w:r>
      <w:r>
        <w:rPr>
          <w:rFonts w:ascii="Arial" w:hAnsi="Arial" w:cs="Arial"/>
          <w:color w:val="auto"/>
          <w:sz w:val="22"/>
        </w:rPr>
        <w:t>/den Einrichtung(en) Produkte, die von der Europäischen Union im Rahmen des Schulprogramms finanziert werden, bereit.</w:t>
      </w:r>
    </w:p>
    <w:p>
      <w:pPr>
        <w:pStyle w:val="Listenabsatz"/>
        <w:spacing w:line="264" w:lineRule="auto"/>
        <w:ind w:left="238" w:firstLine="0"/>
        <w:rPr>
          <w:rFonts w:ascii="Arial" w:hAnsi="Arial" w:cs="Arial"/>
          <w:color w:val="auto"/>
          <w:sz w:val="22"/>
        </w:rPr>
      </w:pPr>
    </w:p>
    <w:p>
      <w:pPr>
        <w:pStyle w:val="Listenabsatz"/>
        <w:spacing w:line="264" w:lineRule="auto"/>
        <w:ind w:left="357" w:firstLine="0"/>
        <w:rPr>
          <w:rFonts w:ascii="Arial" w:hAnsi="Arial" w:cs="Arial"/>
          <w:i/>
          <w:color w:val="auto"/>
          <w:sz w:val="22"/>
        </w:rPr>
      </w:pPr>
      <w:r>
        <w:rPr>
          <w:rFonts w:ascii="Arial" w:hAnsi="Arial" w:cs="Arial"/>
          <w:color w:val="auto"/>
          <w:sz w:val="22"/>
        </w:rPr>
        <w:t>4.2</w:t>
      </w:r>
      <w:r>
        <w:rPr>
          <w:rFonts w:ascii="Arial" w:hAnsi="Arial" w:cs="Arial"/>
          <w:i/>
          <w:color w:val="auto"/>
          <w:sz w:val="22"/>
        </w:rPr>
        <w:tab/>
        <w:t>Lieferschein</w:t>
      </w:r>
    </w:p>
    <w:p>
      <w:pPr>
        <w:pStyle w:val="Listenabsatz"/>
        <w:spacing w:line="264" w:lineRule="auto"/>
        <w:ind w:left="709" w:firstLine="0"/>
        <w:rPr>
          <w:rFonts w:ascii="Arial" w:hAnsi="Arial" w:cs="Arial"/>
          <w:color w:val="auto"/>
          <w:sz w:val="22"/>
        </w:rPr>
      </w:pPr>
      <w:r>
        <w:rPr>
          <w:rFonts w:ascii="Arial" w:hAnsi="Arial" w:cs="Arial"/>
          <w:color w:val="auto"/>
          <w:sz w:val="22"/>
        </w:rPr>
        <w:t xml:space="preserve">Der Lieferant erstellt für jede Lieferung einen Lieferschein in </w:t>
      </w:r>
      <w:r>
        <w:rPr>
          <w:rFonts w:ascii="Arial" w:hAnsi="Arial" w:cs="Arial"/>
          <w:color w:val="auto"/>
          <w:sz w:val="22"/>
          <w:u w:val="single"/>
        </w:rPr>
        <w:t>zweifacher Ausführung</w:t>
      </w:r>
      <w:r>
        <w:rPr>
          <w:rFonts w:ascii="Arial" w:hAnsi="Arial" w:cs="Arial"/>
          <w:color w:val="auto"/>
          <w:sz w:val="22"/>
        </w:rPr>
        <w:t xml:space="preserve">, </w:t>
      </w:r>
      <w:r>
        <w:rPr>
          <w:rFonts w:ascii="Arial" w:hAnsi="Arial" w:cs="Arial"/>
          <w:noProof/>
          <w:color w:val="auto"/>
          <w:sz w:val="22"/>
        </w:rPr>
        <w:drawing>
          <wp:inline distT="0" distB="0" distL="0" distR="0">
            <wp:extent cx="3232" cy="6464"/>
            <wp:effectExtent l="0" t="0" r="0" b="0"/>
            <wp:docPr id="4965" name="Picture 4965"/>
            <wp:cNvGraphicFramePr/>
            <a:graphic xmlns:a="http://schemas.openxmlformats.org/drawingml/2006/main">
              <a:graphicData uri="http://schemas.openxmlformats.org/drawingml/2006/picture">
                <pic:pic xmlns:pic="http://schemas.openxmlformats.org/drawingml/2006/picture">
                  <pic:nvPicPr>
                    <pic:cNvPr id="4965" name="Picture 4965"/>
                    <pic:cNvPicPr/>
                  </pic:nvPicPr>
                  <pic:blipFill>
                    <a:blip r:embed="rId15"/>
                    <a:stretch>
                      <a:fillRect/>
                    </a:stretch>
                  </pic:blipFill>
                  <pic:spPr>
                    <a:xfrm>
                      <a:off x="0" y="0"/>
                      <a:ext cx="3232" cy="6464"/>
                    </a:xfrm>
                    <a:prstGeom prst="rect">
                      <a:avLst/>
                    </a:prstGeom>
                  </pic:spPr>
                </pic:pic>
              </a:graphicData>
            </a:graphic>
          </wp:inline>
        </w:drawing>
      </w:r>
      <w:r>
        <w:rPr>
          <w:rFonts w:ascii="Arial" w:hAnsi="Arial" w:cs="Arial"/>
          <w:color w:val="auto"/>
          <w:sz w:val="22"/>
        </w:rPr>
        <w:t>auf dem das Lieferdatum sowie die Art (Frischmilch oder H-Milch), Menge (Stück und Liter) und Produktionsart (konventionell oder ökologische Erzeugung) der gelieferten Produkte ausgewiesen ist. Ein Exemplar erhält die Einrichtung, eines verbleibt beim Lieferanten.</w:t>
      </w:r>
    </w:p>
    <w:p>
      <w:pPr>
        <w:pStyle w:val="Listenabsatz"/>
        <w:spacing w:line="264" w:lineRule="auto"/>
        <w:ind w:left="238" w:firstLine="0"/>
        <w:rPr>
          <w:rFonts w:ascii="Arial" w:hAnsi="Arial" w:cs="Arial"/>
          <w:i/>
          <w:color w:val="auto"/>
          <w:sz w:val="22"/>
        </w:rPr>
      </w:pPr>
    </w:p>
    <w:p>
      <w:pPr>
        <w:pStyle w:val="Listenabsatz"/>
        <w:spacing w:line="264" w:lineRule="auto"/>
        <w:ind w:left="357" w:firstLine="0"/>
        <w:rPr>
          <w:rFonts w:ascii="Arial" w:hAnsi="Arial" w:cs="Arial"/>
          <w:i/>
          <w:sz w:val="22"/>
        </w:rPr>
      </w:pPr>
      <w:r>
        <w:rPr>
          <w:rFonts w:ascii="Arial" w:hAnsi="Arial" w:cs="Arial"/>
          <w:sz w:val="22"/>
        </w:rPr>
        <w:t>4.3</w:t>
      </w:r>
      <w:r>
        <w:rPr>
          <w:rFonts w:ascii="Arial" w:hAnsi="Arial" w:cs="Arial"/>
          <w:i/>
          <w:sz w:val="22"/>
        </w:rPr>
        <w:tab/>
        <w:t>Liefernachweis</w:t>
      </w:r>
    </w:p>
    <w:p>
      <w:pPr>
        <w:pStyle w:val="Listenabsatz"/>
        <w:spacing w:line="264" w:lineRule="auto"/>
        <w:ind w:left="709" w:firstLine="0"/>
        <w:rPr>
          <w:rFonts w:ascii="Arial" w:hAnsi="Arial" w:cs="Arial"/>
          <w:color w:val="auto"/>
          <w:sz w:val="22"/>
        </w:rPr>
      </w:pPr>
      <w:r>
        <w:rPr>
          <w:rFonts w:ascii="Arial" w:hAnsi="Arial" w:cs="Arial"/>
          <w:sz w:val="22"/>
        </w:rPr>
        <w:t xml:space="preserve">Der Lieferant erstellt für jeden Liefermonat einen Liefernachweis. </w:t>
      </w:r>
      <w:r>
        <w:rPr>
          <w:rFonts w:ascii="Arial" w:hAnsi="Arial" w:cs="Arial"/>
          <w:color w:val="auto"/>
          <w:sz w:val="22"/>
        </w:rPr>
        <w:t>Dieser wird von der/den Einrichtung(en) quittiert (siehe 3.3).</w:t>
      </w:r>
    </w:p>
    <w:p>
      <w:pPr>
        <w:pStyle w:val="Listenabsatz"/>
        <w:ind w:left="5" w:firstLine="0"/>
        <w:rPr>
          <w:rFonts w:ascii="Arial" w:hAnsi="Arial" w:cs="Arial"/>
          <w:color w:val="auto"/>
          <w:sz w:val="22"/>
        </w:rPr>
      </w:pPr>
    </w:p>
    <w:p>
      <w:pPr>
        <w:pStyle w:val="Listenabsatz"/>
        <w:spacing w:line="264" w:lineRule="auto"/>
        <w:ind w:left="357" w:firstLine="0"/>
        <w:rPr>
          <w:rFonts w:ascii="Arial" w:hAnsi="Arial" w:cs="Arial"/>
          <w:i/>
          <w:sz w:val="22"/>
        </w:rPr>
      </w:pPr>
      <w:r>
        <w:rPr>
          <w:rFonts w:ascii="Arial" w:hAnsi="Arial" w:cs="Arial"/>
          <w:sz w:val="22"/>
        </w:rPr>
        <w:t>4.4</w:t>
      </w:r>
      <w:r>
        <w:rPr>
          <w:rFonts w:ascii="Arial" w:hAnsi="Arial" w:cs="Arial"/>
          <w:i/>
          <w:sz w:val="22"/>
        </w:rPr>
        <w:tab/>
        <w:t>Qualität der Produkte</w:t>
      </w:r>
    </w:p>
    <w:p>
      <w:pPr>
        <w:pStyle w:val="Listenabsatz"/>
        <w:spacing w:line="264" w:lineRule="auto"/>
        <w:ind w:left="709" w:firstLine="0"/>
        <w:rPr>
          <w:rFonts w:ascii="Arial" w:hAnsi="Arial" w:cs="Arial"/>
          <w:sz w:val="22"/>
        </w:rPr>
      </w:pPr>
      <w:r>
        <w:rPr>
          <w:rFonts w:ascii="Arial" w:hAnsi="Arial" w:cs="Arial"/>
          <w:sz w:val="22"/>
        </w:rPr>
        <w:t>Der Lieferant stellt sicher, dass die Produkte die einschlägigen lebens</w:t>
      </w:r>
      <w:r>
        <w:rPr>
          <w:rFonts w:ascii="Arial" w:hAnsi="Arial" w:cs="Arial"/>
          <w:sz w:val="22"/>
        </w:rPr>
        <w:softHyphen/>
        <w:t xml:space="preserve">mittel(hygiene) rechtlichen Anforderungen erfüllen und keine Zusätze von Zucker, Salz, Fett, </w:t>
      </w:r>
      <w:r>
        <w:rPr>
          <w:rFonts w:ascii="Arial" w:hAnsi="Arial" w:cs="Arial"/>
          <w:noProof/>
          <w:sz w:val="22"/>
        </w:rPr>
        <w:drawing>
          <wp:inline distT="0" distB="0" distL="0" distR="0">
            <wp:extent cx="6463" cy="3232"/>
            <wp:effectExtent l="0" t="0" r="0" b="0"/>
            <wp:docPr id="4968" name="Picture 4968"/>
            <wp:cNvGraphicFramePr/>
            <a:graphic xmlns:a="http://schemas.openxmlformats.org/drawingml/2006/main">
              <a:graphicData uri="http://schemas.openxmlformats.org/drawingml/2006/picture">
                <pic:pic xmlns:pic="http://schemas.openxmlformats.org/drawingml/2006/picture">
                  <pic:nvPicPr>
                    <pic:cNvPr id="4968" name="Picture 4968"/>
                    <pic:cNvPicPr/>
                  </pic:nvPicPr>
                  <pic:blipFill>
                    <a:blip r:embed="rId16"/>
                    <a:stretch>
                      <a:fillRect/>
                    </a:stretch>
                  </pic:blipFill>
                  <pic:spPr>
                    <a:xfrm>
                      <a:off x="0" y="0"/>
                      <a:ext cx="6463" cy="3232"/>
                    </a:xfrm>
                    <a:prstGeom prst="rect">
                      <a:avLst/>
                    </a:prstGeom>
                  </pic:spPr>
                </pic:pic>
              </a:graphicData>
            </a:graphic>
          </wp:inline>
        </w:drawing>
      </w:r>
      <w:r>
        <w:rPr>
          <w:rFonts w:ascii="Arial" w:hAnsi="Arial" w:cs="Arial"/>
          <w:sz w:val="22"/>
        </w:rPr>
        <w:t>Süßungsmitteln oder künstlichen Geschmacksverstärkern enthalten.</w:t>
      </w:r>
    </w:p>
    <w:p>
      <w:pPr>
        <w:ind w:left="0" w:firstLine="0"/>
        <w:rPr>
          <w:rFonts w:ascii="Arial" w:hAnsi="Arial" w:cs="Arial"/>
          <w:sz w:val="22"/>
        </w:rPr>
      </w:pPr>
    </w:p>
    <w:p>
      <w:pPr>
        <w:ind w:left="0" w:firstLine="0"/>
        <w:rPr>
          <w:rFonts w:ascii="Arial" w:hAnsi="Arial" w:cs="Arial"/>
          <w:sz w:val="22"/>
        </w:rPr>
      </w:pPr>
      <w:bookmarkStart w:id="2" w:name="_GoBack"/>
      <w:bookmarkEnd w:id="2"/>
    </w:p>
    <w:p>
      <w:pPr>
        <w:pStyle w:val="Listenabsatz"/>
        <w:numPr>
          <w:ilvl w:val="0"/>
          <w:numId w:val="12"/>
        </w:numPr>
        <w:spacing w:after="162"/>
        <w:rPr>
          <w:rFonts w:ascii="Arial" w:hAnsi="Arial" w:cs="Arial"/>
          <w:b/>
          <w:color w:val="auto"/>
          <w:sz w:val="22"/>
        </w:rPr>
      </w:pPr>
      <w:r>
        <w:rPr>
          <w:rFonts w:ascii="Arial" w:hAnsi="Arial" w:cs="Arial"/>
          <w:b/>
          <w:color w:val="auto"/>
          <w:sz w:val="22"/>
        </w:rPr>
        <w:t>Kündigung der Liefervereinbarung</w:t>
      </w:r>
    </w:p>
    <w:p>
      <w:pPr>
        <w:pStyle w:val="Listenabsatz"/>
        <w:spacing w:after="162"/>
        <w:ind w:firstLine="0"/>
        <w:rPr>
          <w:rFonts w:ascii="Arial" w:hAnsi="Arial" w:cs="Arial"/>
          <w:b/>
          <w:color w:val="auto"/>
          <w:sz w:val="22"/>
        </w:rPr>
      </w:pPr>
    </w:p>
    <w:p>
      <w:pPr>
        <w:pStyle w:val="Listenabsatz"/>
        <w:spacing w:line="264" w:lineRule="auto"/>
        <w:ind w:left="709" w:firstLine="0"/>
        <w:rPr>
          <w:rFonts w:ascii="Arial" w:hAnsi="Arial" w:cs="Arial"/>
          <w:sz w:val="22"/>
        </w:rPr>
      </w:pPr>
      <w:r>
        <w:rPr>
          <w:rFonts w:ascii="Arial" w:hAnsi="Arial" w:cs="Arial"/>
          <w:color w:val="auto"/>
          <w:sz w:val="22"/>
        </w:rPr>
        <w:t xml:space="preserve">Die Liefervereinbarung kann sowohl von dem Einrichtungsträger </w:t>
      </w:r>
      <w:r>
        <w:rPr>
          <w:rFonts w:ascii="Arial" w:hAnsi="Arial" w:cs="Arial"/>
          <w:sz w:val="22"/>
        </w:rPr>
        <w:t>als auch vom Liefe</w:t>
      </w:r>
      <w:r>
        <w:rPr>
          <w:rFonts w:ascii="Arial" w:hAnsi="Arial" w:cs="Arial"/>
          <w:sz w:val="22"/>
        </w:rPr>
        <w:softHyphen/>
        <w:t xml:space="preserve">ranten gekündigt werden. </w:t>
      </w:r>
    </w:p>
    <w:p>
      <w:pPr>
        <w:pStyle w:val="Listenabsatz"/>
        <w:spacing w:line="264" w:lineRule="auto"/>
        <w:ind w:left="709" w:firstLine="0"/>
        <w:rPr>
          <w:rFonts w:ascii="Arial" w:hAnsi="Arial" w:cs="Arial"/>
          <w:sz w:val="22"/>
        </w:rPr>
      </w:pPr>
      <w:r>
        <w:rPr>
          <w:rFonts w:ascii="Arial" w:hAnsi="Arial" w:cs="Arial"/>
          <w:sz w:val="22"/>
        </w:rPr>
        <w:t>Die Kündigung des Lieferverhältnisses muss am ersten Werktag einer Kalenderwoche beim Partner vorliegen. Bei fristgerechter Benach</w:t>
      </w:r>
      <w:r>
        <w:rPr>
          <w:rFonts w:ascii="Arial" w:hAnsi="Arial" w:cs="Arial"/>
          <w:sz w:val="22"/>
        </w:rPr>
        <w:softHyphen/>
        <w:t>richtigung endet das Lieferverhältnis frühestens zum Ende der zweiten auf die Kündigung folgenden Kalenderwoche</w:t>
      </w:r>
      <w:r>
        <w:rPr>
          <w:rFonts w:ascii="Arial" w:hAnsi="Arial" w:cs="Arial"/>
          <w:noProof/>
          <w:sz w:val="22"/>
        </w:rPr>
        <w:drawing>
          <wp:inline distT="0" distB="0" distL="0" distR="0">
            <wp:extent cx="19390" cy="19390"/>
            <wp:effectExtent l="0" t="0" r="0" b="0"/>
            <wp:docPr id="6264" name="Picture 6264"/>
            <wp:cNvGraphicFramePr/>
            <a:graphic xmlns:a="http://schemas.openxmlformats.org/drawingml/2006/main">
              <a:graphicData uri="http://schemas.openxmlformats.org/drawingml/2006/picture">
                <pic:pic xmlns:pic="http://schemas.openxmlformats.org/drawingml/2006/picture">
                  <pic:nvPicPr>
                    <pic:cNvPr id="6264" name="Picture 6264"/>
                    <pic:cNvPicPr/>
                  </pic:nvPicPr>
                  <pic:blipFill>
                    <a:blip r:embed="rId17"/>
                    <a:stretch>
                      <a:fillRect/>
                    </a:stretch>
                  </pic:blipFill>
                  <pic:spPr>
                    <a:xfrm>
                      <a:off x="0" y="0"/>
                      <a:ext cx="19390" cy="19390"/>
                    </a:xfrm>
                    <a:prstGeom prst="rect">
                      <a:avLst/>
                    </a:prstGeom>
                  </pic:spPr>
                </pic:pic>
              </a:graphicData>
            </a:graphic>
          </wp:inline>
        </w:drawing>
      </w:r>
      <w:r>
        <w:rPr>
          <w:rFonts w:ascii="Arial" w:hAnsi="Arial" w:cs="Arial"/>
          <w:sz w:val="22"/>
        </w:rPr>
        <w:t xml:space="preserve"> Bei einer später eingehenden Kündigung endet das Lieferverhältnis erst eine Woche später.</w:t>
      </w:r>
    </w:p>
    <w:p>
      <w:pPr>
        <w:pStyle w:val="Listenabsatz"/>
        <w:spacing w:line="264" w:lineRule="auto"/>
        <w:ind w:left="709" w:firstLine="0"/>
        <w:rPr>
          <w:rFonts w:ascii="Arial" w:hAnsi="Arial" w:cs="Arial"/>
          <w:sz w:val="22"/>
        </w:rPr>
      </w:pPr>
    </w:p>
    <w:p>
      <w:pPr>
        <w:pStyle w:val="Listenabsatz"/>
        <w:spacing w:line="264" w:lineRule="auto"/>
        <w:ind w:left="709" w:firstLine="0"/>
        <w:rPr>
          <w:rFonts w:ascii="Arial" w:hAnsi="Arial" w:cs="Arial"/>
          <w:sz w:val="22"/>
        </w:rPr>
      </w:pPr>
    </w:p>
    <w:p>
      <w:pPr>
        <w:pStyle w:val="Listenabsatz"/>
        <w:numPr>
          <w:ilvl w:val="0"/>
          <w:numId w:val="12"/>
        </w:numPr>
        <w:spacing w:after="0" w:line="240" w:lineRule="auto"/>
        <w:ind w:left="714" w:hanging="357"/>
        <w:rPr>
          <w:rFonts w:ascii="Arial" w:hAnsi="Arial" w:cs="Arial"/>
          <w:b/>
          <w:color w:val="auto"/>
          <w:sz w:val="22"/>
        </w:rPr>
      </w:pPr>
      <w:r>
        <w:rPr>
          <w:rFonts w:ascii="Arial" w:hAnsi="Arial" w:cs="Arial"/>
          <w:b/>
          <w:color w:val="auto"/>
          <w:sz w:val="22"/>
        </w:rPr>
        <w:t>Inkrafttreten</w:t>
      </w:r>
    </w:p>
    <w:p>
      <w:pPr>
        <w:pStyle w:val="Listenabsatz"/>
        <w:spacing w:after="0" w:line="240" w:lineRule="auto"/>
        <w:ind w:left="714" w:firstLine="0"/>
        <w:rPr>
          <w:rFonts w:ascii="Arial" w:hAnsi="Arial" w:cs="Arial"/>
          <w:b/>
          <w:color w:val="auto"/>
          <w:sz w:val="22"/>
        </w:rPr>
      </w:pPr>
    </w:p>
    <w:p>
      <w:pPr>
        <w:spacing w:line="264" w:lineRule="auto"/>
        <w:ind w:left="709" w:firstLine="6"/>
        <w:rPr>
          <w:rFonts w:ascii="Arial" w:hAnsi="Arial" w:cs="Arial"/>
          <w:sz w:val="22"/>
        </w:rPr>
      </w:pPr>
      <w:r>
        <w:rPr>
          <w:rFonts w:ascii="Arial" w:hAnsi="Arial" w:cs="Arial"/>
          <w:sz w:val="22"/>
        </w:rPr>
        <w:t>Diese Vereinbarung tritt erst in Kraft, wenn der Lieferant eine Bewilligung von Unions</w:t>
      </w:r>
      <w:r>
        <w:rPr>
          <w:rFonts w:ascii="Arial" w:hAnsi="Arial" w:cs="Arial"/>
          <w:sz w:val="22"/>
        </w:rPr>
        <w:softHyphen/>
        <w:t>beihilfen für das EU-Schulprogramm für die Belieferung erhalten hat.</w:t>
      </w:r>
    </w:p>
    <w:p>
      <w:pPr>
        <w:spacing w:line="264" w:lineRule="auto"/>
        <w:ind w:left="709" w:right="153" w:firstLine="6"/>
        <w:rPr>
          <w:rFonts w:ascii="Arial" w:hAnsi="Arial" w:cs="Arial"/>
          <w:sz w:val="22"/>
        </w:rPr>
      </w:pPr>
      <w:r>
        <w:rPr>
          <w:rFonts w:ascii="Arial" w:hAnsi="Arial" w:cs="Arial"/>
          <w:sz w:val="22"/>
        </w:rPr>
        <w:t>Eine Lieferung vor Bewilligung der Unionsbeihilfen ist nicht möglich.</w:t>
      </w:r>
      <w:r>
        <w:rPr>
          <w:rFonts w:ascii="Arial" w:hAnsi="Arial" w:cs="Arial"/>
          <w:noProof/>
          <w:sz w:val="22"/>
        </w:rPr>
        <w:drawing>
          <wp:inline distT="0" distB="0" distL="0" distR="0">
            <wp:extent cx="3232" cy="3232"/>
            <wp:effectExtent l="0" t="0" r="0" b="0"/>
            <wp:docPr id="6266" name="Picture 6266"/>
            <wp:cNvGraphicFramePr/>
            <a:graphic xmlns:a="http://schemas.openxmlformats.org/drawingml/2006/main">
              <a:graphicData uri="http://schemas.openxmlformats.org/drawingml/2006/picture">
                <pic:pic xmlns:pic="http://schemas.openxmlformats.org/drawingml/2006/picture">
                  <pic:nvPicPr>
                    <pic:cNvPr id="6266" name="Picture 6266"/>
                    <pic:cNvPicPr/>
                  </pic:nvPicPr>
                  <pic:blipFill>
                    <a:blip r:embed="rId18"/>
                    <a:stretch>
                      <a:fillRect/>
                    </a:stretch>
                  </pic:blipFill>
                  <pic:spPr>
                    <a:xfrm>
                      <a:off x="0" y="0"/>
                      <a:ext cx="3232" cy="3232"/>
                    </a:xfrm>
                    <a:prstGeom prst="rect">
                      <a:avLst/>
                    </a:prstGeom>
                  </pic:spPr>
                </pic:pic>
              </a:graphicData>
            </a:graphic>
          </wp:inline>
        </w:drawing>
      </w:r>
    </w:p>
    <w:p>
      <w:pPr>
        <w:ind w:left="0" w:firstLine="0"/>
        <w:rPr>
          <w:rFonts w:ascii="Arial" w:hAnsi="Arial" w:cs="Arial"/>
          <w:sz w:val="22"/>
        </w:rPr>
      </w:pPr>
    </w:p>
    <w:p>
      <w:pPr>
        <w:ind w:left="0" w:firstLine="0"/>
        <w:rPr>
          <w:rFonts w:ascii="Arial" w:hAnsi="Arial" w:cs="Arial"/>
          <w:sz w:val="22"/>
        </w:rPr>
      </w:pPr>
    </w:p>
    <w:p>
      <w:pPr>
        <w:rPr>
          <w:rFonts w:ascii="Arial" w:hAnsi="Arial" w:cs="Arial"/>
          <w:b/>
          <w:color w:val="auto"/>
          <w:sz w:val="22"/>
        </w:rPr>
      </w:pPr>
      <w:r>
        <w:rPr>
          <w:rFonts w:ascii="Arial" w:hAnsi="Arial" w:cs="Arial"/>
          <w:b/>
          <w:sz w:val="22"/>
        </w:rPr>
        <w:t xml:space="preserve">Für den Lieferanten: </w:t>
      </w:r>
      <w:r>
        <w:rPr>
          <w:rFonts w:ascii="Arial" w:hAnsi="Arial" w:cs="Arial"/>
          <w:b/>
          <w:sz w:val="22"/>
        </w:rPr>
        <w:tab/>
      </w:r>
      <w:r>
        <w:rPr>
          <w:rFonts w:ascii="Arial" w:hAnsi="Arial" w:cs="Arial"/>
          <w:b/>
          <w:sz w:val="22"/>
        </w:rPr>
        <w:tab/>
      </w:r>
      <w:r>
        <w:rPr>
          <w:rFonts w:ascii="Arial" w:hAnsi="Arial" w:cs="Arial"/>
          <w:b/>
          <w:sz w:val="22"/>
        </w:rPr>
        <w:tab/>
        <w:t xml:space="preserve">Für </w:t>
      </w:r>
      <w:r>
        <w:rPr>
          <w:rFonts w:ascii="Arial" w:hAnsi="Arial" w:cs="Arial"/>
          <w:b/>
          <w:color w:val="auto"/>
          <w:sz w:val="22"/>
        </w:rPr>
        <w:t>den Einrichtungsträger:</w:t>
      </w:r>
    </w:p>
    <w:p>
      <w:pPr>
        <w:rPr>
          <w:rFonts w:ascii="Arial" w:hAnsi="Arial" w:cs="Arial"/>
          <w:b/>
          <w:sz w:val="22"/>
        </w:rPr>
      </w:pPr>
    </w:p>
    <w:p>
      <w:pPr>
        <w:rPr>
          <w:rFonts w:ascii="Arial" w:hAnsi="Arial" w:cs="Arial"/>
          <w:sz w:val="22"/>
        </w:rPr>
      </w:pPr>
      <w:r>
        <w:rPr>
          <w:rFonts w:ascii="Arial" w:hAnsi="Arial" w:cs="Arial"/>
          <w:sz w:val="22"/>
        </w:rPr>
        <w:fldChar w:fldCharType="begin">
          <w:ffData>
            <w:name w:val="Text3"/>
            <w:enabled/>
            <w:calcOnExit w:val="0"/>
            <w:textInput/>
          </w:ffData>
        </w:fldChar>
      </w:r>
      <w:bookmarkStart w:id="3" w:name="Text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fldChar w:fldCharType="begin">
          <w:ffData>
            <w:name w:val="Text4"/>
            <w:enabled/>
            <w:calcOnExit w:val="0"/>
            <w:textInput/>
          </w:ffData>
        </w:fldChar>
      </w:r>
      <w:bookmarkStart w:id="4" w:name="Text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
    </w:p>
    <w:p>
      <w:pPr>
        <w:rPr>
          <w:rFonts w:ascii="Arial" w:hAnsi="Arial" w:cs="Arial"/>
          <w:sz w:val="22"/>
        </w:rPr>
      </w:pPr>
      <w:r>
        <w:rPr>
          <w:rFonts w:ascii="Arial" w:hAnsi="Arial" w:cs="Arial"/>
          <w:sz w:val="22"/>
        </w:rPr>
        <w:t>……………………….</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w:t>
      </w:r>
    </w:p>
    <w:p>
      <w:pPr>
        <w:rPr>
          <w:rFonts w:ascii="Arial" w:hAnsi="Arial" w:cs="Arial"/>
          <w:sz w:val="22"/>
        </w:rPr>
      </w:pPr>
      <w:r>
        <w:rPr>
          <w:rFonts w:ascii="Arial" w:hAnsi="Arial" w:cs="Arial"/>
          <w:sz w:val="22"/>
        </w:rPr>
        <w:t>Ort, Datum</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Ort, Datum</w:t>
      </w:r>
    </w:p>
    <w:p>
      <w:pPr>
        <w:rPr>
          <w:rFonts w:ascii="Arial" w:hAnsi="Arial" w:cs="Arial"/>
          <w:sz w:val="22"/>
        </w:rPr>
      </w:pPr>
    </w:p>
    <w:p>
      <w:pPr>
        <w:rPr>
          <w:rFonts w:ascii="Arial" w:hAnsi="Arial" w:cs="Arial"/>
          <w:sz w:val="22"/>
        </w:rPr>
      </w:pPr>
      <w:r>
        <w:rPr>
          <w:rFonts w:ascii="Arial" w:hAnsi="Arial" w:cs="Arial"/>
          <w:sz w:val="22"/>
        </w:rPr>
        <w:t>……………………….</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w:t>
      </w:r>
    </w:p>
    <w:p>
      <w:pPr>
        <w:rPr>
          <w:rFonts w:ascii="Arial" w:hAnsi="Arial" w:cs="Arial"/>
          <w:sz w:val="22"/>
        </w:rPr>
      </w:pPr>
      <w:r>
        <w:rPr>
          <w:rFonts w:ascii="Arial" w:hAnsi="Arial" w:cs="Arial"/>
          <w:sz w:val="22"/>
        </w:rPr>
        <w:t>Unterschrift, Funktion / Stempel</w:t>
      </w:r>
      <w:r>
        <w:rPr>
          <w:rFonts w:ascii="Arial" w:hAnsi="Arial" w:cs="Arial"/>
          <w:sz w:val="22"/>
        </w:rPr>
        <w:tab/>
      </w:r>
      <w:r>
        <w:rPr>
          <w:rFonts w:ascii="Arial" w:hAnsi="Arial" w:cs="Arial"/>
          <w:sz w:val="22"/>
        </w:rPr>
        <w:tab/>
        <w:t>Unterschrift, Funktion / Stempel</w:t>
      </w:r>
      <w:r>
        <w:rPr>
          <w:rFonts w:ascii="Arial" w:hAnsi="Arial" w:cs="Arial"/>
          <w:sz w:val="22"/>
        </w:rPr>
        <w:tab/>
      </w:r>
      <w:r>
        <w:rPr>
          <w:rFonts w:ascii="Arial" w:hAnsi="Arial" w:cs="Arial"/>
          <w:sz w:val="22"/>
        </w:rPr>
        <w:tab/>
      </w:r>
    </w:p>
    <w:p>
      <w:pPr>
        <w:rPr>
          <w:rFonts w:ascii="Arial" w:hAnsi="Arial" w:cs="Arial"/>
          <w:sz w:val="22"/>
        </w:rPr>
      </w:pPr>
    </w:p>
    <w:p>
      <w:pPr>
        <w:rPr>
          <w:rFonts w:ascii="Arial" w:hAnsi="Arial" w:cs="Arial"/>
          <w:sz w:val="22"/>
        </w:rPr>
      </w:pPr>
      <w:r>
        <w:rPr>
          <w:rFonts w:ascii="Arial" w:hAnsi="Arial" w:cs="Arial"/>
          <w:color w:val="auto"/>
          <w:sz w:val="22"/>
        </w:rPr>
        <w:t>Anhang: Auflistungen der Lieferparameter der teilnehmenden Bildungseinrichtung(en)</w:t>
      </w:r>
    </w:p>
    <w:sectPr>
      <w:footerReference w:type="default" r:id="rId19"/>
      <w:pgSz w:w="11906" w:h="16838"/>
      <w:pgMar w:top="1417" w:right="1417" w:bottom="851"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253161"/>
      <w:docPartObj>
        <w:docPartGallery w:val="Page Numbers (Bottom of Page)"/>
        <w:docPartUnique/>
      </w:docPartObj>
    </w:sdtPr>
    <w:sdtContent>
      <w:p>
        <w:pPr>
          <w:pStyle w:val="Fuzeile"/>
        </w:pPr>
        <w:r>
          <w:fldChar w:fldCharType="begin"/>
        </w:r>
        <w:r>
          <w:instrText>PAGE   \* MERGEFORMAT</w:instrText>
        </w:r>
        <w:r>
          <w:fldChar w:fldCharType="separate"/>
        </w:r>
        <w:r>
          <w:rPr>
            <w:noProof/>
          </w:rPr>
          <w:t>3</w:t>
        </w:r>
        <w:r>
          <w:fldChar w:fldCharType="end"/>
        </w:r>
      </w:p>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5pt;height:23.25pt;visibility:visible;mso-wrap-style:square" o:bullet="t">
        <v:imagedata r:id="rId1" o:title=""/>
      </v:shape>
    </w:pict>
  </w:numPicBullet>
  <w:numPicBullet w:numPicBulletId="1">
    <w:pict>
      <v:shape id="_x0000_i1027" type="#_x0000_t75" style="width:.75pt;height:1.5pt;visibility:visible;mso-wrap-style:square" o:bullet="t">
        <v:imagedata r:id="rId2" o:title=""/>
      </v:shape>
    </w:pict>
  </w:numPicBullet>
  <w:abstractNum w:abstractNumId="0" w15:restartNumberingAfterBreak="0">
    <w:nsid w:val="079A49C1"/>
    <w:multiLevelType w:val="hybridMultilevel"/>
    <w:tmpl w:val="750A9F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FA1231"/>
    <w:multiLevelType w:val="hybridMultilevel"/>
    <w:tmpl w:val="0D0618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78D5B3C"/>
    <w:multiLevelType w:val="multilevel"/>
    <w:tmpl w:val="038A3E04"/>
    <w:lvl w:ilvl="0">
      <w:start w:val="4"/>
      <w:numFmt w:val="decimal"/>
      <w:lvlText w:val="%1."/>
      <w:lvlJc w:val="left"/>
      <w:pPr>
        <w:ind w:left="426" w:firstLine="0"/>
      </w:pPr>
      <w:rPr>
        <w:rFonts w:ascii="Calibri" w:eastAsia="Calibri" w:hAnsi="Calibri" w:cs="Calibri" w:hint="default"/>
        <w:b/>
        <w:i w:val="0"/>
        <w:strike w:val="0"/>
        <w:dstrike w:val="0"/>
        <w:color w:val="000000"/>
        <w:sz w:val="22"/>
        <w:szCs w:val="26"/>
        <w:u w:val="none" w:color="000000"/>
        <w:bdr w:val="none" w:sz="0" w:space="0" w:color="auto"/>
        <w:shd w:val="clear" w:color="auto" w:fill="auto"/>
        <w:vertAlign w:val="baseline"/>
      </w:rPr>
    </w:lvl>
    <w:lvl w:ilvl="1">
      <w:start w:val="1"/>
      <w:numFmt w:val="decimal"/>
      <w:lvlText w:val="%1.%2"/>
      <w:lvlJc w:val="left"/>
      <w:pPr>
        <w:ind w:left="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9176093"/>
    <w:multiLevelType w:val="hybridMultilevel"/>
    <w:tmpl w:val="0AB89A6A"/>
    <w:lvl w:ilvl="0" w:tplc="04070001">
      <w:start w:val="1"/>
      <w:numFmt w:val="bullet"/>
      <w:lvlText w:val=""/>
      <w:lvlJc w:val="left"/>
      <w:pPr>
        <w:ind w:left="375" w:hanging="360"/>
      </w:pPr>
      <w:rPr>
        <w:rFonts w:ascii="Symbol" w:hAnsi="Symbol" w:hint="default"/>
      </w:rPr>
    </w:lvl>
    <w:lvl w:ilvl="1" w:tplc="04070003" w:tentative="1">
      <w:start w:val="1"/>
      <w:numFmt w:val="bullet"/>
      <w:lvlText w:val="o"/>
      <w:lvlJc w:val="left"/>
      <w:pPr>
        <w:ind w:left="1095" w:hanging="360"/>
      </w:pPr>
      <w:rPr>
        <w:rFonts w:ascii="Courier New" w:hAnsi="Courier New" w:cs="Courier New" w:hint="default"/>
      </w:rPr>
    </w:lvl>
    <w:lvl w:ilvl="2" w:tplc="04070005" w:tentative="1">
      <w:start w:val="1"/>
      <w:numFmt w:val="bullet"/>
      <w:lvlText w:val=""/>
      <w:lvlJc w:val="left"/>
      <w:pPr>
        <w:ind w:left="1815" w:hanging="360"/>
      </w:pPr>
      <w:rPr>
        <w:rFonts w:ascii="Wingdings" w:hAnsi="Wingdings" w:hint="default"/>
      </w:rPr>
    </w:lvl>
    <w:lvl w:ilvl="3" w:tplc="04070001" w:tentative="1">
      <w:start w:val="1"/>
      <w:numFmt w:val="bullet"/>
      <w:lvlText w:val=""/>
      <w:lvlJc w:val="left"/>
      <w:pPr>
        <w:ind w:left="2535" w:hanging="360"/>
      </w:pPr>
      <w:rPr>
        <w:rFonts w:ascii="Symbol" w:hAnsi="Symbol" w:hint="default"/>
      </w:rPr>
    </w:lvl>
    <w:lvl w:ilvl="4" w:tplc="04070003" w:tentative="1">
      <w:start w:val="1"/>
      <w:numFmt w:val="bullet"/>
      <w:lvlText w:val="o"/>
      <w:lvlJc w:val="left"/>
      <w:pPr>
        <w:ind w:left="3255" w:hanging="360"/>
      </w:pPr>
      <w:rPr>
        <w:rFonts w:ascii="Courier New" w:hAnsi="Courier New" w:cs="Courier New" w:hint="default"/>
      </w:rPr>
    </w:lvl>
    <w:lvl w:ilvl="5" w:tplc="04070005" w:tentative="1">
      <w:start w:val="1"/>
      <w:numFmt w:val="bullet"/>
      <w:lvlText w:val=""/>
      <w:lvlJc w:val="left"/>
      <w:pPr>
        <w:ind w:left="3975" w:hanging="360"/>
      </w:pPr>
      <w:rPr>
        <w:rFonts w:ascii="Wingdings" w:hAnsi="Wingdings" w:hint="default"/>
      </w:rPr>
    </w:lvl>
    <w:lvl w:ilvl="6" w:tplc="04070001" w:tentative="1">
      <w:start w:val="1"/>
      <w:numFmt w:val="bullet"/>
      <w:lvlText w:val=""/>
      <w:lvlJc w:val="left"/>
      <w:pPr>
        <w:ind w:left="4695" w:hanging="360"/>
      </w:pPr>
      <w:rPr>
        <w:rFonts w:ascii="Symbol" w:hAnsi="Symbol" w:hint="default"/>
      </w:rPr>
    </w:lvl>
    <w:lvl w:ilvl="7" w:tplc="04070003" w:tentative="1">
      <w:start w:val="1"/>
      <w:numFmt w:val="bullet"/>
      <w:lvlText w:val="o"/>
      <w:lvlJc w:val="left"/>
      <w:pPr>
        <w:ind w:left="5415" w:hanging="360"/>
      </w:pPr>
      <w:rPr>
        <w:rFonts w:ascii="Courier New" w:hAnsi="Courier New" w:cs="Courier New" w:hint="default"/>
      </w:rPr>
    </w:lvl>
    <w:lvl w:ilvl="8" w:tplc="04070005" w:tentative="1">
      <w:start w:val="1"/>
      <w:numFmt w:val="bullet"/>
      <w:lvlText w:val=""/>
      <w:lvlJc w:val="left"/>
      <w:pPr>
        <w:ind w:left="6135" w:hanging="360"/>
      </w:pPr>
      <w:rPr>
        <w:rFonts w:ascii="Wingdings" w:hAnsi="Wingdings" w:hint="default"/>
      </w:rPr>
    </w:lvl>
  </w:abstractNum>
  <w:abstractNum w:abstractNumId="4" w15:restartNumberingAfterBreak="0">
    <w:nsid w:val="3C082FEC"/>
    <w:multiLevelType w:val="hybridMultilevel"/>
    <w:tmpl w:val="3FB2E766"/>
    <w:lvl w:ilvl="0" w:tplc="F1E0E638">
      <w:start w:val="4"/>
      <w:numFmt w:val="decimal"/>
      <w:lvlText w:val="%1."/>
      <w:lvlJc w:val="left"/>
      <w:pPr>
        <w:ind w:left="2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C4AFF08">
      <w:start w:val="1"/>
      <w:numFmt w:val="lowerLetter"/>
      <w:lvlText w:val="%2"/>
      <w:lvlJc w:val="left"/>
      <w:pPr>
        <w:ind w:left="10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F1A9204">
      <w:start w:val="1"/>
      <w:numFmt w:val="lowerRoman"/>
      <w:lvlText w:val="%3"/>
      <w:lvlJc w:val="left"/>
      <w:pPr>
        <w:ind w:left="18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C745A26">
      <w:start w:val="1"/>
      <w:numFmt w:val="decimal"/>
      <w:lvlText w:val="%4"/>
      <w:lvlJc w:val="left"/>
      <w:pPr>
        <w:ind w:left="25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3CEE6E0">
      <w:start w:val="1"/>
      <w:numFmt w:val="lowerLetter"/>
      <w:lvlText w:val="%5"/>
      <w:lvlJc w:val="left"/>
      <w:pPr>
        <w:ind w:left="32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22EC284">
      <w:start w:val="1"/>
      <w:numFmt w:val="lowerRoman"/>
      <w:lvlText w:val="%6"/>
      <w:lvlJc w:val="left"/>
      <w:pPr>
        <w:ind w:left="39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7EE3D06">
      <w:start w:val="1"/>
      <w:numFmt w:val="decimal"/>
      <w:lvlText w:val="%7"/>
      <w:lvlJc w:val="left"/>
      <w:pPr>
        <w:ind w:left="46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7CF41596">
      <w:start w:val="1"/>
      <w:numFmt w:val="lowerLetter"/>
      <w:lvlText w:val="%8"/>
      <w:lvlJc w:val="left"/>
      <w:pPr>
        <w:ind w:left="54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E5EB244">
      <w:start w:val="1"/>
      <w:numFmt w:val="lowerRoman"/>
      <w:lvlText w:val="%9"/>
      <w:lvlJc w:val="left"/>
      <w:pPr>
        <w:ind w:left="61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43B132E4"/>
    <w:multiLevelType w:val="hybridMultilevel"/>
    <w:tmpl w:val="E8886108"/>
    <w:lvl w:ilvl="0" w:tplc="7BF879D4">
      <w:start w:val="1"/>
      <w:numFmt w:val="bullet"/>
      <w:lvlText w:val=""/>
      <w:lvlPicBulletId w:val="0"/>
      <w:lvlJc w:val="left"/>
      <w:pPr>
        <w:ind w:left="741" w:hanging="360"/>
      </w:pPr>
      <w:rPr>
        <w:rFonts w:ascii="Symbol" w:hAnsi="Symbol" w:hint="default"/>
      </w:rPr>
    </w:lvl>
    <w:lvl w:ilvl="1" w:tplc="04070003" w:tentative="1">
      <w:start w:val="1"/>
      <w:numFmt w:val="bullet"/>
      <w:lvlText w:val="o"/>
      <w:lvlJc w:val="left"/>
      <w:pPr>
        <w:ind w:left="1461" w:hanging="360"/>
      </w:pPr>
      <w:rPr>
        <w:rFonts w:ascii="Courier New" w:hAnsi="Courier New" w:cs="Courier New" w:hint="default"/>
      </w:rPr>
    </w:lvl>
    <w:lvl w:ilvl="2" w:tplc="04070005" w:tentative="1">
      <w:start w:val="1"/>
      <w:numFmt w:val="bullet"/>
      <w:lvlText w:val=""/>
      <w:lvlJc w:val="left"/>
      <w:pPr>
        <w:ind w:left="2181" w:hanging="360"/>
      </w:pPr>
      <w:rPr>
        <w:rFonts w:ascii="Wingdings" w:hAnsi="Wingdings" w:hint="default"/>
      </w:rPr>
    </w:lvl>
    <w:lvl w:ilvl="3" w:tplc="04070001" w:tentative="1">
      <w:start w:val="1"/>
      <w:numFmt w:val="bullet"/>
      <w:lvlText w:val=""/>
      <w:lvlJc w:val="left"/>
      <w:pPr>
        <w:ind w:left="2901" w:hanging="360"/>
      </w:pPr>
      <w:rPr>
        <w:rFonts w:ascii="Symbol" w:hAnsi="Symbol" w:hint="default"/>
      </w:rPr>
    </w:lvl>
    <w:lvl w:ilvl="4" w:tplc="04070003" w:tentative="1">
      <w:start w:val="1"/>
      <w:numFmt w:val="bullet"/>
      <w:lvlText w:val="o"/>
      <w:lvlJc w:val="left"/>
      <w:pPr>
        <w:ind w:left="3621" w:hanging="360"/>
      </w:pPr>
      <w:rPr>
        <w:rFonts w:ascii="Courier New" w:hAnsi="Courier New" w:cs="Courier New" w:hint="default"/>
      </w:rPr>
    </w:lvl>
    <w:lvl w:ilvl="5" w:tplc="04070005" w:tentative="1">
      <w:start w:val="1"/>
      <w:numFmt w:val="bullet"/>
      <w:lvlText w:val=""/>
      <w:lvlJc w:val="left"/>
      <w:pPr>
        <w:ind w:left="4341" w:hanging="360"/>
      </w:pPr>
      <w:rPr>
        <w:rFonts w:ascii="Wingdings" w:hAnsi="Wingdings" w:hint="default"/>
      </w:rPr>
    </w:lvl>
    <w:lvl w:ilvl="6" w:tplc="04070001" w:tentative="1">
      <w:start w:val="1"/>
      <w:numFmt w:val="bullet"/>
      <w:lvlText w:val=""/>
      <w:lvlJc w:val="left"/>
      <w:pPr>
        <w:ind w:left="5061" w:hanging="360"/>
      </w:pPr>
      <w:rPr>
        <w:rFonts w:ascii="Symbol" w:hAnsi="Symbol" w:hint="default"/>
      </w:rPr>
    </w:lvl>
    <w:lvl w:ilvl="7" w:tplc="04070003" w:tentative="1">
      <w:start w:val="1"/>
      <w:numFmt w:val="bullet"/>
      <w:lvlText w:val="o"/>
      <w:lvlJc w:val="left"/>
      <w:pPr>
        <w:ind w:left="5781" w:hanging="360"/>
      </w:pPr>
      <w:rPr>
        <w:rFonts w:ascii="Courier New" w:hAnsi="Courier New" w:cs="Courier New" w:hint="default"/>
      </w:rPr>
    </w:lvl>
    <w:lvl w:ilvl="8" w:tplc="04070005" w:tentative="1">
      <w:start w:val="1"/>
      <w:numFmt w:val="bullet"/>
      <w:lvlText w:val=""/>
      <w:lvlJc w:val="left"/>
      <w:pPr>
        <w:ind w:left="6501" w:hanging="360"/>
      </w:pPr>
      <w:rPr>
        <w:rFonts w:ascii="Wingdings" w:hAnsi="Wingdings" w:hint="default"/>
      </w:rPr>
    </w:lvl>
  </w:abstractNum>
  <w:abstractNum w:abstractNumId="6" w15:restartNumberingAfterBreak="0">
    <w:nsid w:val="535411B7"/>
    <w:multiLevelType w:val="hybridMultilevel"/>
    <w:tmpl w:val="85708238"/>
    <w:lvl w:ilvl="0" w:tplc="2968CFB4">
      <w:start w:val="1"/>
      <w:numFmt w:val="bullet"/>
      <w:lvlText w:val=""/>
      <w:lvlPicBulletId w:val="0"/>
      <w:lvlJc w:val="left"/>
      <w:pPr>
        <w:ind w:left="375" w:hanging="360"/>
      </w:pPr>
      <w:rPr>
        <w:rFonts w:ascii="Symbol" w:hAnsi="Symbol" w:hint="default"/>
      </w:rPr>
    </w:lvl>
    <w:lvl w:ilvl="1" w:tplc="04070003" w:tentative="1">
      <w:start w:val="1"/>
      <w:numFmt w:val="bullet"/>
      <w:lvlText w:val="o"/>
      <w:lvlJc w:val="left"/>
      <w:pPr>
        <w:ind w:left="1095" w:hanging="360"/>
      </w:pPr>
      <w:rPr>
        <w:rFonts w:ascii="Courier New" w:hAnsi="Courier New" w:cs="Courier New" w:hint="default"/>
      </w:rPr>
    </w:lvl>
    <w:lvl w:ilvl="2" w:tplc="04070005" w:tentative="1">
      <w:start w:val="1"/>
      <w:numFmt w:val="bullet"/>
      <w:lvlText w:val=""/>
      <w:lvlJc w:val="left"/>
      <w:pPr>
        <w:ind w:left="1815" w:hanging="360"/>
      </w:pPr>
      <w:rPr>
        <w:rFonts w:ascii="Wingdings" w:hAnsi="Wingdings" w:hint="default"/>
      </w:rPr>
    </w:lvl>
    <w:lvl w:ilvl="3" w:tplc="04070001" w:tentative="1">
      <w:start w:val="1"/>
      <w:numFmt w:val="bullet"/>
      <w:lvlText w:val=""/>
      <w:lvlJc w:val="left"/>
      <w:pPr>
        <w:ind w:left="2535" w:hanging="360"/>
      </w:pPr>
      <w:rPr>
        <w:rFonts w:ascii="Symbol" w:hAnsi="Symbol" w:hint="default"/>
      </w:rPr>
    </w:lvl>
    <w:lvl w:ilvl="4" w:tplc="04070003" w:tentative="1">
      <w:start w:val="1"/>
      <w:numFmt w:val="bullet"/>
      <w:lvlText w:val="o"/>
      <w:lvlJc w:val="left"/>
      <w:pPr>
        <w:ind w:left="3255" w:hanging="360"/>
      </w:pPr>
      <w:rPr>
        <w:rFonts w:ascii="Courier New" w:hAnsi="Courier New" w:cs="Courier New" w:hint="default"/>
      </w:rPr>
    </w:lvl>
    <w:lvl w:ilvl="5" w:tplc="04070005" w:tentative="1">
      <w:start w:val="1"/>
      <w:numFmt w:val="bullet"/>
      <w:lvlText w:val=""/>
      <w:lvlJc w:val="left"/>
      <w:pPr>
        <w:ind w:left="3975" w:hanging="360"/>
      </w:pPr>
      <w:rPr>
        <w:rFonts w:ascii="Wingdings" w:hAnsi="Wingdings" w:hint="default"/>
      </w:rPr>
    </w:lvl>
    <w:lvl w:ilvl="6" w:tplc="04070001" w:tentative="1">
      <w:start w:val="1"/>
      <w:numFmt w:val="bullet"/>
      <w:lvlText w:val=""/>
      <w:lvlJc w:val="left"/>
      <w:pPr>
        <w:ind w:left="4695" w:hanging="360"/>
      </w:pPr>
      <w:rPr>
        <w:rFonts w:ascii="Symbol" w:hAnsi="Symbol" w:hint="default"/>
      </w:rPr>
    </w:lvl>
    <w:lvl w:ilvl="7" w:tplc="04070003" w:tentative="1">
      <w:start w:val="1"/>
      <w:numFmt w:val="bullet"/>
      <w:lvlText w:val="o"/>
      <w:lvlJc w:val="left"/>
      <w:pPr>
        <w:ind w:left="5415" w:hanging="360"/>
      </w:pPr>
      <w:rPr>
        <w:rFonts w:ascii="Courier New" w:hAnsi="Courier New" w:cs="Courier New" w:hint="default"/>
      </w:rPr>
    </w:lvl>
    <w:lvl w:ilvl="8" w:tplc="04070005" w:tentative="1">
      <w:start w:val="1"/>
      <w:numFmt w:val="bullet"/>
      <w:lvlText w:val=""/>
      <w:lvlJc w:val="left"/>
      <w:pPr>
        <w:ind w:left="6135" w:hanging="360"/>
      </w:pPr>
      <w:rPr>
        <w:rFonts w:ascii="Wingdings" w:hAnsi="Wingdings" w:hint="default"/>
      </w:rPr>
    </w:lvl>
  </w:abstractNum>
  <w:abstractNum w:abstractNumId="7" w15:restartNumberingAfterBreak="0">
    <w:nsid w:val="548C471F"/>
    <w:multiLevelType w:val="hybridMultilevel"/>
    <w:tmpl w:val="73F4E1A0"/>
    <w:lvl w:ilvl="0" w:tplc="7BF879D4">
      <w:start w:val="1"/>
      <w:numFmt w:val="bullet"/>
      <w:lvlText w:val=""/>
      <w:lvlPicBulletId w:val="0"/>
      <w:lvlJc w:val="left"/>
      <w:pPr>
        <w:tabs>
          <w:tab w:val="num" w:pos="720"/>
        </w:tabs>
        <w:ind w:left="720" w:hanging="360"/>
      </w:pPr>
      <w:rPr>
        <w:rFonts w:ascii="Symbol" w:hAnsi="Symbol" w:hint="default"/>
      </w:rPr>
    </w:lvl>
    <w:lvl w:ilvl="1" w:tplc="4A88D702" w:tentative="1">
      <w:start w:val="1"/>
      <w:numFmt w:val="bullet"/>
      <w:lvlText w:val=""/>
      <w:lvlJc w:val="left"/>
      <w:pPr>
        <w:tabs>
          <w:tab w:val="num" w:pos="1440"/>
        </w:tabs>
        <w:ind w:left="1440" w:hanging="360"/>
      </w:pPr>
      <w:rPr>
        <w:rFonts w:ascii="Symbol" w:hAnsi="Symbol" w:hint="default"/>
      </w:rPr>
    </w:lvl>
    <w:lvl w:ilvl="2" w:tplc="E5FCB304" w:tentative="1">
      <w:start w:val="1"/>
      <w:numFmt w:val="bullet"/>
      <w:lvlText w:val=""/>
      <w:lvlJc w:val="left"/>
      <w:pPr>
        <w:tabs>
          <w:tab w:val="num" w:pos="2160"/>
        </w:tabs>
        <w:ind w:left="2160" w:hanging="360"/>
      </w:pPr>
      <w:rPr>
        <w:rFonts w:ascii="Symbol" w:hAnsi="Symbol" w:hint="default"/>
      </w:rPr>
    </w:lvl>
    <w:lvl w:ilvl="3" w:tplc="40383968" w:tentative="1">
      <w:start w:val="1"/>
      <w:numFmt w:val="bullet"/>
      <w:lvlText w:val=""/>
      <w:lvlJc w:val="left"/>
      <w:pPr>
        <w:tabs>
          <w:tab w:val="num" w:pos="2880"/>
        </w:tabs>
        <w:ind w:left="2880" w:hanging="360"/>
      </w:pPr>
      <w:rPr>
        <w:rFonts w:ascii="Symbol" w:hAnsi="Symbol" w:hint="default"/>
      </w:rPr>
    </w:lvl>
    <w:lvl w:ilvl="4" w:tplc="D854BB56" w:tentative="1">
      <w:start w:val="1"/>
      <w:numFmt w:val="bullet"/>
      <w:lvlText w:val=""/>
      <w:lvlJc w:val="left"/>
      <w:pPr>
        <w:tabs>
          <w:tab w:val="num" w:pos="3600"/>
        </w:tabs>
        <w:ind w:left="3600" w:hanging="360"/>
      </w:pPr>
      <w:rPr>
        <w:rFonts w:ascii="Symbol" w:hAnsi="Symbol" w:hint="default"/>
      </w:rPr>
    </w:lvl>
    <w:lvl w:ilvl="5" w:tplc="71F2DE44" w:tentative="1">
      <w:start w:val="1"/>
      <w:numFmt w:val="bullet"/>
      <w:lvlText w:val=""/>
      <w:lvlJc w:val="left"/>
      <w:pPr>
        <w:tabs>
          <w:tab w:val="num" w:pos="4320"/>
        </w:tabs>
        <w:ind w:left="4320" w:hanging="360"/>
      </w:pPr>
      <w:rPr>
        <w:rFonts w:ascii="Symbol" w:hAnsi="Symbol" w:hint="default"/>
      </w:rPr>
    </w:lvl>
    <w:lvl w:ilvl="6" w:tplc="893067EC" w:tentative="1">
      <w:start w:val="1"/>
      <w:numFmt w:val="bullet"/>
      <w:lvlText w:val=""/>
      <w:lvlJc w:val="left"/>
      <w:pPr>
        <w:tabs>
          <w:tab w:val="num" w:pos="5040"/>
        </w:tabs>
        <w:ind w:left="5040" w:hanging="360"/>
      </w:pPr>
      <w:rPr>
        <w:rFonts w:ascii="Symbol" w:hAnsi="Symbol" w:hint="default"/>
      </w:rPr>
    </w:lvl>
    <w:lvl w:ilvl="7" w:tplc="34FC0C02" w:tentative="1">
      <w:start w:val="1"/>
      <w:numFmt w:val="bullet"/>
      <w:lvlText w:val=""/>
      <w:lvlJc w:val="left"/>
      <w:pPr>
        <w:tabs>
          <w:tab w:val="num" w:pos="5760"/>
        </w:tabs>
        <w:ind w:left="5760" w:hanging="360"/>
      </w:pPr>
      <w:rPr>
        <w:rFonts w:ascii="Symbol" w:hAnsi="Symbol" w:hint="default"/>
      </w:rPr>
    </w:lvl>
    <w:lvl w:ilvl="8" w:tplc="1DD83B6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B8E7281"/>
    <w:multiLevelType w:val="hybridMultilevel"/>
    <w:tmpl w:val="442A4B9E"/>
    <w:lvl w:ilvl="0" w:tplc="EDD83974">
      <w:start w:val="1"/>
      <w:numFmt w:val="bullet"/>
      <w:lvlText w:val=""/>
      <w:lvlPicBulletId w:val="1"/>
      <w:lvlJc w:val="left"/>
      <w:pPr>
        <w:tabs>
          <w:tab w:val="num" w:pos="720"/>
        </w:tabs>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95231E"/>
    <w:multiLevelType w:val="hybridMultilevel"/>
    <w:tmpl w:val="B888BFA8"/>
    <w:lvl w:ilvl="0" w:tplc="EFCE4190">
      <w:start w:val="2"/>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48C7380"/>
    <w:multiLevelType w:val="hybridMultilevel"/>
    <w:tmpl w:val="DBAE45DE"/>
    <w:lvl w:ilvl="0" w:tplc="BE36A376">
      <w:start w:val="1"/>
      <w:numFmt w:val="bullet"/>
      <w:lvlText w:val=""/>
      <w:lvlPicBulletId w:val="0"/>
      <w:lvlJc w:val="left"/>
      <w:pPr>
        <w:tabs>
          <w:tab w:val="num" w:pos="360"/>
        </w:tabs>
        <w:ind w:left="360" w:hanging="360"/>
      </w:pPr>
      <w:rPr>
        <w:rFonts w:ascii="Symbol" w:hAnsi="Symbol" w:hint="default"/>
      </w:rPr>
    </w:lvl>
    <w:lvl w:ilvl="1" w:tplc="698CACE8" w:tentative="1">
      <w:start w:val="1"/>
      <w:numFmt w:val="bullet"/>
      <w:lvlText w:val=""/>
      <w:lvlJc w:val="left"/>
      <w:pPr>
        <w:tabs>
          <w:tab w:val="num" w:pos="1080"/>
        </w:tabs>
        <w:ind w:left="1080" w:hanging="360"/>
      </w:pPr>
      <w:rPr>
        <w:rFonts w:ascii="Symbol" w:hAnsi="Symbol" w:hint="default"/>
      </w:rPr>
    </w:lvl>
    <w:lvl w:ilvl="2" w:tplc="F4D6587E" w:tentative="1">
      <w:start w:val="1"/>
      <w:numFmt w:val="bullet"/>
      <w:lvlText w:val=""/>
      <w:lvlJc w:val="left"/>
      <w:pPr>
        <w:tabs>
          <w:tab w:val="num" w:pos="1800"/>
        </w:tabs>
        <w:ind w:left="1800" w:hanging="360"/>
      </w:pPr>
      <w:rPr>
        <w:rFonts w:ascii="Symbol" w:hAnsi="Symbol" w:hint="default"/>
      </w:rPr>
    </w:lvl>
    <w:lvl w:ilvl="3" w:tplc="62FE4622" w:tentative="1">
      <w:start w:val="1"/>
      <w:numFmt w:val="bullet"/>
      <w:lvlText w:val=""/>
      <w:lvlJc w:val="left"/>
      <w:pPr>
        <w:tabs>
          <w:tab w:val="num" w:pos="2520"/>
        </w:tabs>
        <w:ind w:left="2520" w:hanging="360"/>
      </w:pPr>
      <w:rPr>
        <w:rFonts w:ascii="Symbol" w:hAnsi="Symbol" w:hint="default"/>
      </w:rPr>
    </w:lvl>
    <w:lvl w:ilvl="4" w:tplc="06101616" w:tentative="1">
      <w:start w:val="1"/>
      <w:numFmt w:val="bullet"/>
      <w:lvlText w:val=""/>
      <w:lvlJc w:val="left"/>
      <w:pPr>
        <w:tabs>
          <w:tab w:val="num" w:pos="3240"/>
        </w:tabs>
        <w:ind w:left="3240" w:hanging="360"/>
      </w:pPr>
      <w:rPr>
        <w:rFonts w:ascii="Symbol" w:hAnsi="Symbol" w:hint="default"/>
      </w:rPr>
    </w:lvl>
    <w:lvl w:ilvl="5" w:tplc="BF1AFA84" w:tentative="1">
      <w:start w:val="1"/>
      <w:numFmt w:val="bullet"/>
      <w:lvlText w:val=""/>
      <w:lvlJc w:val="left"/>
      <w:pPr>
        <w:tabs>
          <w:tab w:val="num" w:pos="3960"/>
        </w:tabs>
        <w:ind w:left="3960" w:hanging="360"/>
      </w:pPr>
      <w:rPr>
        <w:rFonts w:ascii="Symbol" w:hAnsi="Symbol" w:hint="default"/>
      </w:rPr>
    </w:lvl>
    <w:lvl w:ilvl="6" w:tplc="5734B854" w:tentative="1">
      <w:start w:val="1"/>
      <w:numFmt w:val="bullet"/>
      <w:lvlText w:val=""/>
      <w:lvlJc w:val="left"/>
      <w:pPr>
        <w:tabs>
          <w:tab w:val="num" w:pos="4680"/>
        </w:tabs>
        <w:ind w:left="4680" w:hanging="360"/>
      </w:pPr>
      <w:rPr>
        <w:rFonts w:ascii="Symbol" w:hAnsi="Symbol" w:hint="default"/>
      </w:rPr>
    </w:lvl>
    <w:lvl w:ilvl="7" w:tplc="0CC084C0" w:tentative="1">
      <w:start w:val="1"/>
      <w:numFmt w:val="bullet"/>
      <w:lvlText w:val=""/>
      <w:lvlJc w:val="left"/>
      <w:pPr>
        <w:tabs>
          <w:tab w:val="num" w:pos="5400"/>
        </w:tabs>
        <w:ind w:left="5400" w:hanging="360"/>
      </w:pPr>
      <w:rPr>
        <w:rFonts w:ascii="Symbol" w:hAnsi="Symbol" w:hint="default"/>
      </w:rPr>
    </w:lvl>
    <w:lvl w:ilvl="8" w:tplc="37AC40A0" w:tentative="1">
      <w:start w:val="1"/>
      <w:numFmt w:val="bullet"/>
      <w:lvlText w:val=""/>
      <w:lvlJc w:val="left"/>
      <w:pPr>
        <w:tabs>
          <w:tab w:val="num" w:pos="6120"/>
        </w:tabs>
        <w:ind w:left="6120" w:hanging="360"/>
      </w:pPr>
      <w:rPr>
        <w:rFonts w:ascii="Symbol" w:hAnsi="Symbol" w:hint="default"/>
      </w:rPr>
    </w:lvl>
  </w:abstractNum>
  <w:abstractNum w:abstractNumId="11" w15:restartNumberingAfterBreak="0">
    <w:nsid w:val="74A81529"/>
    <w:multiLevelType w:val="hybridMultilevel"/>
    <w:tmpl w:val="E91A1040"/>
    <w:lvl w:ilvl="0" w:tplc="EDD83974">
      <w:start w:val="1"/>
      <w:numFmt w:val="bullet"/>
      <w:lvlText w:val=""/>
      <w:lvlPicBulletId w:val="1"/>
      <w:lvlJc w:val="left"/>
      <w:pPr>
        <w:tabs>
          <w:tab w:val="num" w:pos="720"/>
        </w:tabs>
        <w:ind w:left="720" w:hanging="360"/>
      </w:pPr>
      <w:rPr>
        <w:rFonts w:ascii="Symbol" w:hAnsi="Symbol" w:hint="default"/>
      </w:rPr>
    </w:lvl>
    <w:lvl w:ilvl="1" w:tplc="9CBEA822" w:tentative="1">
      <w:start w:val="1"/>
      <w:numFmt w:val="bullet"/>
      <w:lvlText w:val=""/>
      <w:lvlJc w:val="left"/>
      <w:pPr>
        <w:tabs>
          <w:tab w:val="num" w:pos="1440"/>
        </w:tabs>
        <w:ind w:left="1440" w:hanging="360"/>
      </w:pPr>
      <w:rPr>
        <w:rFonts w:ascii="Symbol" w:hAnsi="Symbol" w:hint="default"/>
      </w:rPr>
    </w:lvl>
    <w:lvl w:ilvl="2" w:tplc="AED6D348" w:tentative="1">
      <w:start w:val="1"/>
      <w:numFmt w:val="bullet"/>
      <w:lvlText w:val=""/>
      <w:lvlJc w:val="left"/>
      <w:pPr>
        <w:tabs>
          <w:tab w:val="num" w:pos="2160"/>
        </w:tabs>
        <w:ind w:left="2160" w:hanging="360"/>
      </w:pPr>
      <w:rPr>
        <w:rFonts w:ascii="Symbol" w:hAnsi="Symbol" w:hint="default"/>
      </w:rPr>
    </w:lvl>
    <w:lvl w:ilvl="3" w:tplc="079AEECC" w:tentative="1">
      <w:start w:val="1"/>
      <w:numFmt w:val="bullet"/>
      <w:lvlText w:val=""/>
      <w:lvlJc w:val="left"/>
      <w:pPr>
        <w:tabs>
          <w:tab w:val="num" w:pos="2880"/>
        </w:tabs>
        <w:ind w:left="2880" w:hanging="360"/>
      </w:pPr>
      <w:rPr>
        <w:rFonts w:ascii="Symbol" w:hAnsi="Symbol" w:hint="default"/>
      </w:rPr>
    </w:lvl>
    <w:lvl w:ilvl="4" w:tplc="B5D4159A" w:tentative="1">
      <w:start w:val="1"/>
      <w:numFmt w:val="bullet"/>
      <w:lvlText w:val=""/>
      <w:lvlJc w:val="left"/>
      <w:pPr>
        <w:tabs>
          <w:tab w:val="num" w:pos="3600"/>
        </w:tabs>
        <w:ind w:left="3600" w:hanging="360"/>
      </w:pPr>
      <w:rPr>
        <w:rFonts w:ascii="Symbol" w:hAnsi="Symbol" w:hint="default"/>
      </w:rPr>
    </w:lvl>
    <w:lvl w:ilvl="5" w:tplc="F5765F0A" w:tentative="1">
      <w:start w:val="1"/>
      <w:numFmt w:val="bullet"/>
      <w:lvlText w:val=""/>
      <w:lvlJc w:val="left"/>
      <w:pPr>
        <w:tabs>
          <w:tab w:val="num" w:pos="4320"/>
        </w:tabs>
        <w:ind w:left="4320" w:hanging="360"/>
      </w:pPr>
      <w:rPr>
        <w:rFonts w:ascii="Symbol" w:hAnsi="Symbol" w:hint="default"/>
      </w:rPr>
    </w:lvl>
    <w:lvl w:ilvl="6" w:tplc="600E53F2" w:tentative="1">
      <w:start w:val="1"/>
      <w:numFmt w:val="bullet"/>
      <w:lvlText w:val=""/>
      <w:lvlJc w:val="left"/>
      <w:pPr>
        <w:tabs>
          <w:tab w:val="num" w:pos="5040"/>
        </w:tabs>
        <w:ind w:left="5040" w:hanging="360"/>
      </w:pPr>
      <w:rPr>
        <w:rFonts w:ascii="Symbol" w:hAnsi="Symbol" w:hint="default"/>
      </w:rPr>
    </w:lvl>
    <w:lvl w:ilvl="7" w:tplc="E2567D06" w:tentative="1">
      <w:start w:val="1"/>
      <w:numFmt w:val="bullet"/>
      <w:lvlText w:val=""/>
      <w:lvlJc w:val="left"/>
      <w:pPr>
        <w:tabs>
          <w:tab w:val="num" w:pos="5760"/>
        </w:tabs>
        <w:ind w:left="5760" w:hanging="360"/>
      </w:pPr>
      <w:rPr>
        <w:rFonts w:ascii="Symbol" w:hAnsi="Symbol" w:hint="default"/>
      </w:rPr>
    </w:lvl>
    <w:lvl w:ilvl="8" w:tplc="B7CC8F2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B781063"/>
    <w:multiLevelType w:val="multilevel"/>
    <w:tmpl w:val="7EC608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2"/>
  </w:num>
  <w:num w:numId="3">
    <w:abstractNumId w:val="4"/>
  </w:num>
  <w:num w:numId="4">
    <w:abstractNumId w:val="5"/>
  </w:num>
  <w:num w:numId="5">
    <w:abstractNumId w:val="1"/>
  </w:num>
  <w:num w:numId="6">
    <w:abstractNumId w:val="10"/>
  </w:num>
  <w:num w:numId="7">
    <w:abstractNumId w:val="3"/>
  </w:num>
  <w:num w:numId="8">
    <w:abstractNumId w:val="6"/>
  </w:num>
  <w:num w:numId="9">
    <w:abstractNumId w:val="11"/>
  </w:num>
  <w:num w:numId="10">
    <w:abstractNumId w:val="8"/>
  </w:num>
  <w:num w:numId="11">
    <w:abstractNumId w:val="0"/>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form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FCA9E8-010E-454A-B6E3-8FF1EB5D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3" w:line="265" w:lineRule="auto"/>
      <w:ind w:left="5" w:firstLine="5"/>
      <w:jc w:val="both"/>
    </w:pPr>
    <w:rPr>
      <w:rFonts w:ascii="Calibri" w:eastAsia="Calibri" w:hAnsi="Calibri" w:cs="Calibri"/>
      <w:color w:val="000000"/>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Calibri" w:hAnsi="Tahoma" w:cs="Tahoma"/>
      <w:color w:val="000000"/>
      <w:sz w:val="16"/>
      <w:szCs w:val="16"/>
      <w:lang w:eastAsia="de-DE"/>
    </w:rPr>
  </w:style>
  <w:style w:type="table" w:customStyle="1" w:styleId="TableGrid">
    <w:name w:val="TableGrid"/>
    <w:pPr>
      <w:spacing w:after="0" w:line="240" w:lineRule="auto"/>
    </w:pPr>
    <w:rPr>
      <w:rFonts w:eastAsiaTheme="minorEastAsia"/>
      <w:lang w:eastAsia="de-DE"/>
    </w:rPr>
    <w:tblPr>
      <w:tblCellMar>
        <w:top w:w="0" w:type="dxa"/>
        <w:left w:w="0" w:type="dxa"/>
        <w:bottom w:w="0" w:type="dxa"/>
        <w:right w:w="0" w:type="dxa"/>
      </w:tblCellMar>
    </w:tbl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Calibri" w:eastAsia="Calibri" w:hAnsi="Calibri" w:cs="Calibri"/>
      <w:color w:val="000000"/>
      <w:sz w:val="24"/>
      <w:lang w:eastAsia="de-DE"/>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Calibri" w:eastAsia="Calibri" w:hAnsi="Calibri" w:cs="Calibri"/>
      <w:color w:val="000000"/>
      <w:sz w:val="24"/>
      <w:lang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rFonts w:ascii="Calibri" w:eastAsia="Calibri" w:hAnsi="Calibri" w:cs="Calibri"/>
      <w:color w:val="000000"/>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Calibri" w:eastAsia="Calibri" w:hAnsi="Calibri" w:cs="Calibri"/>
      <w:color w:val="000000"/>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Calibri" w:eastAsia="Calibri" w:hAnsi="Calibri" w:cs="Calibri"/>
      <w:b/>
      <w:bCs/>
      <w:color w:val="000000"/>
      <w:sz w:val="20"/>
      <w:szCs w:val="20"/>
      <w:lang w:eastAsia="de-DE"/>
    </w:rPr>
  </w:style>
  <w:style w:type="paragraph" w:styleId="NurText">
    <w:name w:val="Plain Text"/>
    <w:basedOn w:val="Standard"/>
    <w:link w:val="NurTextZchn"/>
    <w:uiPriority w:val="99"/>
    <w:semiHidden/>
    <w:unhideWhenUsed/>
    <w:pPr>
      <w:spacing w:after="0" w:line="240" w:lineRule="auto"/>
      <w:ind w:left="0" w:firstLine="0"/>
      <w:jc w:val="left"/>
    </w:pPr>
    <w:rPr>
      <w:rFonts w:eastAsiaTheme="minorHAnsi" w:cstheme="minorBidi"/>
      <w:color w:val="auto"/>
      <w:sz w:val="22"/>
      <w:szCs w:val="21"/>
      <w:lang w:eastAsia="en-US"/>
    </w:rPr>
  </w:style>
  <w:style w:type="character" w:customStyle="1" w:styleId="NurTextZchn">
    <w:name w:val="Nur Text Zchn"/>
    <w:basedOn w:val="Absatz-Standardschriftart"/>
    <w:link w:val="NurText"/>
    <w:uiPriority w:val="99"/>
    <w:semiHidden/>
    <w:rPr>
      <w:rFonts w:ascii="Calibri" w:hAnsi="Calibri"/>
      <w:szCs w:val="21"/>
    </w:r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0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7.jpg"/><Relationship Id="rId17"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AE3F9-58C8-48FB-BDC9-61E7293B9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5624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TLVwA Weimar</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TLVwA Donath, Kerstin</dc:creator>
  <cp:lastModifiedBy>LWA Erfurt, Maria</cp:lastModifiedBy>
  <cp:revision>11</cp:revision>
  <cp:lastPrinted>2021-06-14T12:39:00Z</cp:lastPrinted>
  <dcterms:created xsi:type="dcterms:W3CDTF">2025-07-03T07:44:00Z</dcterms:created>
  <dcterms:modified xsi:type="dcterms:W3CDTF">2025-07-03T09:10:00Z</dcterms:modified>
</cp:coreProperties>
</file>